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版本号：2026-HXCT-12920260609001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《考古与文物》出版印刷服务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2026-HXCT-129</w:t>
      </w:r>
      <w:r>
        <w:br/>
      </w:r>
      <w:r>
        <w:br/>
      </w:r>
      <w:r>
        <w:br/>
      </w:r>
    </w:p>
    <w:p>
      <w:pPr>
        <w:pStyle w:val="null3"/>
        <w:jc w:val="center"/>
        <w:outlineLvl w:val="2"/>
      </w:pPr>
      <w:r>
        <w:rPr>
          <w:rFonts w:ascii="仿宋_GB2312" w:hAnsi="仿宋_GB2312" w:cs="仿宋_GB2312" w:eastAsia="仿宋_GB2312"/>
          <w:sz w:val="28"/>
          <w:b/>
        </w:rPr>
        <w:t>陕西省考古研究院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陕西省考古研究院</w:t>
      </w:r>
      <w:r>
        <w:rPr>
          <w:rFonts w:ascii="仿宋_GB2312" w:hAnsi="仿宋_GB2312" w:cs="仿宋_GB2312" w:eastAsia="仿宋_GB2312"/>
        </w:rPr>
        <w:t>委托，拟对</w:t>
      </w:r>
      <w:r>
        <w:rPr>
          <w:rFonts w:ascii="仿宋_GB2312" w:hAnsi="仿宋_GB2312" w:cs="仿宋_GB2312" w:eastAsia="仿宋_GB2312"/>
        </w:rPr>
        <w:t>《考古与文物》出版印刷服务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《考古与文物》出版印刷服务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《考古与文物》出版印刷服务；服务期：12期，数量30000册。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采购包1（《考古与文物》出版印刷服务）：属于专门面向中小企业采购。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2、企业资质：提供《印刷经营许可证》；供应商需在项目电子化交易系统中按要求上传相应证明文件并进行电子签章；</w:t>
      </w:r>
    </w:p>
    <w:p>
      <w:pPr>
        <w:pStyle w:val="null3"/>
      </w:pPr>
      <w:r>
        <w:rPr>
          <w:rFonts w:ascii="仿宋_GB2312" w:hAnsi="仿宋_GB2312" w:cs="仿宋_GB2312" w:eastAsia="仿宋_GB2312"/>
        </w:rPr>
        <w:t>3、无重大违法记录：供应商参加政府采购活动前3年内在经营活动中没有重大违法记录；供应商需在项目电子化交易系统中按要求填写《响应函》完成承诺并进行电子签章。</w:t>
      </w:r>
    </w:p>
    <w:p>
      <w:pPr>
        <w:pStyle w:val="null3"/>
      </w:pPr>
      <w:r>
        <w:rPr>
          <w:rFonts w:ascii="仿宋_GB2312" w:hAnsi="仿宋_GB2312" w:cs="仿宋_GB2312" w:eastAsia="仿宋_GB2312"/>
        </w:rPr>
        <w:t>4、信用查询：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p>
      <w:pPr>
        <w:pStyle w:val="null3"/>
      </w:pPr>
      <w:r>
        <w:rPr>
          <w:rFonts w:ascii="仿宋_GB2312" w:hAnsi="仿宋_GB2312" w:cs="仿宋_GB2312" w:eastAsia="仿宋_GB2312"/>
        </w:rPr>
        <w:t>5、财务状况报告：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6、社保缴纳证明：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7、税收缴纳证明：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pPr>
        <w:pStyle w:val="null3"/>
      </w:pPr>
      <w:r>
        <w:rPr>
          <w:rFonts w:ascii="仿宋_GB2312" w:hAnsi="仿宋_GB2312" w:cs="仿宋_GB2312" w:eastAsia="仿宋_GB2312"/>
        </w:rPr>
        <w:t>8、法定代表人授权书：法定代表人授权书及被授权人身份证原件及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9、控股管理关系：供应商单位负责人为同一人或者存在直接控股、管理关系的供应商，不得参加同一合同下的政府采购活动; 供应商需在项目电子化交易系统中按要求填写《响应函》完成承诺并进行电子签章。</w:t>
      </w:r>
    </w:p>
    <w:p>
      <w:pPr>
        <w:pStyle w:val="null3"/>
      </w:pPr>
      <w:r>
        <w:rPr>
          <w:rFonts w:ascii="仿宋_GB2312" w:hAnsi="仿宋_GB2312" w:cs="仿宋_GB2312" w:eastAsia="仿宋_GB2312"/>
        </w:rPr>
        <w:t>10、其他承诺：供应商具有履行合同所必需的设备和专业技术能力；未为本项目提供整体设计、规范编制或者项目管理、监理、检测等服务。供应商需在项目电子化交易系统中按要求填写《响应函》完成承诺并进行电子签章。</w:t>
      </w:r>
    </w:p>
    <w:p>
      <w:pPr>
        <w:pStyle w:val="null3"/>
      </w:pPr>
      <w:r>
        <w:rPr>
          <w:rFonts w:ascii="仿宋_GB2312" w:hAnsi="仿宋_GB2312" w:cs="仿宋_GB2312" w:eastAsia="仿宋_GB2312"/>
        </w:rPr>
        <w:t>11、联合体、分包：本项目不接受联合体响应，不允许分包。供应商提供《非联合体、不分包投标声明》，视为独立响应，不分包。供应商应提供《非联合体、不分包投标声明》并进行电子签章，格式及内容参见“响应文件格式”。</w:t>
      </w:r>
    </w:p>
    <w:p>
      <w:pPr>
        <w:pStyle w:val="null3"/>
      </w:pPr>
      <w:r>
        <w:rPr>
          <w:rFonts w:ascii="仿宋_GB2312" w:hAnsi="仿宋_GB2312" w:cs="仿宋_GB2312" w:eastAsia="仿宋_GB2312"/>
        </w:rPr>
        <w:t>12、中小企业：本项目专门面向中小企业采购，供应商须为中小企业，并提供中小企业声明函。供应商需在项目电子化交易系统中按要求上传相应证明文件并进行电子签章。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陕西省考古研究院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陕西省西安市长安区郭杜街道周家庄村南文苑南路东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029-89053256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武文华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代理服务费收费标准：1、成交服务费参照《招标代理服务收费暂行办法 》（计价格[2002]1980号）文件服务类规定标准，按照优惠后的下浮费率收费计取。100以下 （不含）不下浮；100（含）-500（不含）下浮20% ；服务费不足5000元的，按5000元收取 。 2、成交服务费按差额定率累进法计算。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陕西省考古研究院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陕西省考古研究院</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陕西省考古研究院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联系人：武文华</w:t>
      </w:r>
    </w:p>
    <w:p>
      <w:pPr>
        <w:pStyle w:val="null3"/>
      </w:pPr>
      <w:r>
        <w:rPr>
          <w:rFonts w:ascii="仿宋_GB2312" w:hAnsi="仿宋_GB2312" w:cs="仿宋_GB2312" w:eastAsia="仿宋_GB2312"/>
        </w:rPr>
        <w:t>联系电话：13279485153</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《考古与文物》出版印刷服务；服务期：12期，数量30000册。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780,000.00</w:t>
      </w:r>
    </w:p>
    <w:p>
      <w:pPr>
        <w:pStyle w:val="null3"/>
      </w:pPr>
      <w:r>
        <w:rPr>
          <w:rFonts w:ascii="仿宋_GB2312" w:hAnsi="仿宋_GB2312" w:cs="仿宋_GB2312" w:eastAsia="仿宋_GB2312"/>
        </w:rPr>
        <w:t>采购包最高限价（元）: 780,000.00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出版印刷服务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标的名称：出版印刷服务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32"/>
            </w:tblGrid>
            <w:tr>
              <w:tc>
                <w:tcPr>
                  <w:tcW w:type="dxa" w:w="1732"/>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1、成品尺寸为大16开（285×215mm）。</w:t>
                  </w:r>
                </w:p>
                <w:p>
                  <w:pPr>
                    <w:pStyle w:val="null3"/>
                  </w:pPr>
                  <w:r>
                    <w:rPr>
                      <w:rFonts w:ascii="仿宋_GB2312" w:hAnsi="仿宋_GB2312" w:cs="仿宋_GB2312" w:eastAsia="仿宋_GB2312"/>
                      <w:sz w:val="28"/>
                    </w:rPr>
                    <w:t>2、数量：2500册/期（全年12期）。</w:t>
                  </w:r>
                </w:p>
                <w:p>
                  <w:pPr>
                    <w:pStyle w:val="null3"/>
                  </w:pPr>
                  <w:r>
                    <w:rPr>
                      <w:rFonts w:ascii="仿宋_GB2312" w:hAnsi="仿宋_GB2312" w:cs="仿宋_GB2312" w:eastAsia="仿宋_GB2312"/>
                      <w:sz w:val="28"/>
                    </w:rPr>
                    <w:t>3</w:t>
                  </w:r>
                  <w:r>
                    <w:rPr>
                      <w:rFonts w:ascii="仿宋_GB2312" w:hAnsi="仿宋_GB2312" w:cs="仿宋_GB2312" w:eastAsia="仿宋_GB2312"/>
                      <w:sz w:val="28"/>
                    </w:rPr>
                    <w:t>、封面</w:t>
                  </w:r>
                  <w:r>
                    <w:rPr>
                      <w:rFonts w:ascii="仿宋_GB2312" w:hAnsi="仿宋_GB2312" w:cs="仿宋_GB2312" w:eastAsia="仿宋_GB2312"/>
                      <w:sz w:val="28"/>
                    </w:rPr>
                    <w:t>/封底：用250g铜版纸四色印刷，覆亚膜。</w:t>
                  </w:r>
                </w:p>
                <w:p>
                  <w:pPr>
                    <w:pStyle w:val="null3"/>
                  </w:pPr>
                  <w:r>
                    <w:rPr>
                      <w:rFonts w:ascii="仿宋_GB2312" w:hAnsi="仿宋_GB2312" w:cs="仿宋_GB2312" w:eastAsia="仿宋_GB2312"/>
                      <w:sz w:val="28"/>
                    </w:rPr>
                    <w:t>4</w:t>
                  </w:r>
                  <w:r>
                    <w:rPr>
                      <w:rFonts w:ascii="仿宋_GB2312" w:hAnsi="仿宋_GB2312" w:cs="仿宋_GB2312" w:eastAsia="仿宋_GB2312"/>
                      <w:sz w:val="28"/>
                    </w:rPr>
                    <w:t>、内文：</w:t>
                  </w:r>
                  <w:r>
                    <w:rPr>
                      <w:rFonts w:ascii="仿宋_GB2312" w:hAnsi="仿宋_GB2312" w:cs="仿宋_GB2312" w:eastAsia="仿宋_GB2312"/>
                      <w:sz w:val="28"/>
                    </w:rPr>
                    <w:t>128pp，大16开，正文用128g 哑粉铜版纸， 四色印刷，平滑度400-600/s，光泽度＞60%，白度＞88%。</w:t>
                  </w:r>
                </w:p>
                <w:p>
                  <w:pPr>
                    <w:pStyle w:val="null3"/>
                  </w:pPr>
                  <w:r>
                    <w:rPr>
                      <w:rFonts w:ascii="仿宋_GB2312" w:hAnsi="仿宋_GB2312" w:cs="仿宋_GB2312" w:eastAsia="仿宋_GB2312"/>
                      <w:sz w:val="28"/>
                    </w:rPr>
                    <w:t>5、要求页码装订无错漏、颠倒，无倒页、漏页；装订精细，胶质涂抹均匀适度，符合装订标准；成品包装，整本无破损。</w:t>
                  </w:r>
                </w:p>
                <w:p>
                  <w:pPr>
                    <w:pStyle w:val="null3"/>
                  </w:pPr>
                  <w:r>
                    <w:rPr>
                      <w:rFonts w:ascii="仿宋_GB2312" w:hAnsi="仿宋_GB2312" w:cs="仿宋_GB2312" w:eastAsia="仿宋_GB2312"/>
                      <w:sz w:val="28"/>
                    </w:rPr>
                    <w:t>6、完成全部刊物排版制作、错误修改、文物图片修图、调色，全程采用苹果iMac工作站，爱色丽专用设备校色。</w:t>
                  </w:r>
                </w:p>
                <w:p>
                  <w:pPr>
                    <w:pStyle w:val="null3"/>
                  </w:pPr>
                  <w:r>
                    <w:rPr>
                      <w:rFonts w:ascii="仿宋_GB2312" w:hAnsi="仿宋_GB2312" w:cs="仿宋_GB2312" w:eastAsia="仿宋_GB2312"/>
                      <w:sz w:val="28"/>
                    </w:rPr>
                    <w:t>7、印刷质量达到字迹清楚、图像清晰、层次分明、图片还原程度高、色彩正常、保证印刷质量不低于印刷打样稿的标准。装订整齐不漏页、不掉页。</w:t>
                  </w:r>
                </w:p>
                <w:p>
                  <w:pPr>
                    <w:pStyle w:val="null3"/>
                    <w:jc w:val="both"/>
                  </w:pPr>
                  <w:r>
                    <w:rPr>
                      <w:rFonts w:ascii="仿宋_GB2312" w:hAnsi="仿宋_GB2312" w:cs="仿宋_GB2312" w:eastAsia="仿宋_GB2312"/>
                      <w:sz w:val="28"/>
                    </w:rPr>
                    <w:t>8、完成包装及送货上门。</w:t>
                  </w:r>
                </w:p>
              </w:tc>
            </w:tr>
            <w:tr>
              <w:tc>
                <w:tcPr>
                  <w:tcW w:type="dxa" w:w="173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8"/>
                    </w:rPr>
                    <w:t>需提供样品两册，样品参数应与本章</w:t>
                  </w:r>
                  <w:r>
                    <w:rPr>
                      <w:rFonts w:ascii="仿宋_GB2312" w:hAnsi="仿宋_GB2312" w:cs="仿宋_GB2312" w:eastAsia="仿宋_GB2312"/>
                      <w:sz w:val="28"/>
                    </w:rPr>
                    <w:t>3.2.2服务要求</w:t>
                  </w:r>
                  <w:r>
                    <w:rPr>
                      <w:rFonts w:ascii="仿宋_GB2312" w:hAnsi="仿宋_GB2312" w:cs="仿宋_GB2312" w:eastAsia="仿宋_GB2312"/>
                      <w:sz w:val="28"/>
                      <w:color w:val="000000"/>
                    </w:rPr>
                    <w:t>保持一致，画面精美，制作精良。</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质量要求：铜版纸全彩印刷，无印刷错误，不偏色。 质量保修范围和保修期:全部杂志，一年。 知识产权归属和处理方式:知识产权归陕西省考古研究院所有。 成本补偿和风险分担约定:图书交付运输费用由服务供应商承担。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陕西省考古研究院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按照技术要求验收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（1）样品规格（参照第三章样品要求） （2）样品递交地址：陕西省西安市未央区西安经济技术开发区凤城七路长和国际D座26层 联系人：武老师：13279485153 （3）递交样品时应将样品独立密封包装、封存完好； （4）外包装应注明：供应商名称及项目名称、项目编号、样品数量。 （5）提交样品截止时间：开标前。 （6）样品退还：评审结束后，由采购人将所有样品统一封存保管。成 交公告发布后一周内，未成交供应商的被授权代表携带本公司法人授权委托书及本人身份证自行联系采购人自取，逾期未取，样品不予保留。成交供应商样品由采购人保存并作为验收的依据。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提供《印刷经营许可证》；供应商需在项目电子化交易系统中按要求上传相应证明文件并进行电子签章；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应提供承诺书并进行电子签章，格式及内容参见“响应文件格式”。</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-2025年度任意一年经会计事务所或审计机构出具完整的财务审计报告(包括审计报告、资产负债表、利润表、现金流量表、所有者权益变动表及其附注，成立时间至提交响应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社保缴纳证明：自2025年5月1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自2025年5月1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法定代表人授权书及被授权人身份证原件及复印件（法定代表人直接参加投标只须提供法定代表人身份证明）。供应商需在项目电子化交易系统中按要求上传相应证明文件并进行电子签章。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供应商单位负责人为同一人或者存在直接控股、管理关系的供应商，不得参加同一合同下的政府采购活动;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其他承诺</w:t>
            </w:r>
          </w:p>
        </w:tc>
        <w:tc>
          <w:tcPr>
            <w:tcW w:type="dxa" w:w="3322"/>
          </w:tcPr>
          <w:p>
            <w:pPr>
              <w:pStyle w:val="null3"/>
            </w:pPr>
            <w:r>
              <w:rPr>
                <w:rFonts w:ascii="仿宋_GB2312" w:hAnsi="仿宋_GB2312" w:cs="仿宋_GB2312" w:eastAsia="仿宋_GB2312"/>
              </w:rPr>
              <w:t>供应商具有履行合同所必需的设备和专业技术能力；未为本项目提供整体设计、规范编制或者项目管理、监理、检测等服务。供应商需在项目电子化交易系统中按要求填写《响应函》完成承诺并进行电子签章。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联合体、分包</w:t>
            </w:r>
          </w:p>
        </w:tc>
        <w:tc>
          <w:tcPr>
            <w:tcW w:type="dxa" w:w="3322"/>
          </w:tcPr>
          <w:p>
            <w:pPr>
              <w:pStyle w:val="null3"/>
            </w:pPr>
            <w:r>
              <w:rPr>
                <w:rFonts w:ascii="仿宋_GB2312" w:hAnsi="仿宋_GB2312" w:cs="仿宋_GB2312" w:eastAsia="仿宋_GB2312"/>
              </w:rPr>
              <w:t>本项目不接受联合体响应，不允许分包。供应商提供《非联合体、不分包投标声明》，视为独立响应，不分包。供应商应提供《非联合体、不分包投标声明》并进行电子签章，格式及内容参见“响应文件格式”。</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本项目专门面向中小企业采购，供应商须为中小企业，并提供中小企业声明函。供应商需在项目电子化交易系统中按要求上传相应证明文件并进行电子签章。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磋商小组应当启动异常低价投标（响应）审查程序：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中小企业声明函 商务应答表 承诺书.docx 报价表 业绩的有关证明材料.docx 样品.docx 响应文件封面 供应商应提交的相关资格证明材料.docx 残疾人福利性单位声明函 标的清单 供应商拒绝政府采购领域商业贿赂承诺书.docx 服务内容及服务邀请应答表.docx 人员配备一览表.docx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响应文件有效期是否符合磋商文件要求</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与营业执照或其他组织、企业资质一致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服务内容及服务要求、商务要求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提出针对本项目的整体方案，方案内容包含①服务分析②服务理念及特色③服务目标④排版制作、印刷制作方案⑤印刷出错的补救措施。 二、评审标准 1、完整性：方案全面，对评审内容中的各项要求有详细描 述及说明； 2、可实施性：切合本项目实际情况，方案步骤清晰、合理； 3、针对性：方案紧扣项目实际情况，内容科学合理。 三、赋分标准（满分7.5分） ①服务分析：每完全满足一项评审标准得0.5分，满分1.5分； ②服务理念及特色:每完全满足一项评审标准得0.5分，满分1.5分； ③服务目标:每完全满足一项评审标准得0.5分，满分1.5分； ④排版制作、印刷制作方案:每完全满足一项评审标准得0.5分，满分1.5分； ⑤印刷出错的补救措施：每完全满足一项评审标准得0.5分，满分1.5分。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针对本项目提出具体的技术方案，方案内容包含①生产工艺②拟采用的印刷及装订技术规范。 二、评审标准 1、完整性：方案全面，对评审内容中的各项要求有详细描述及说明； 2、可实施性：切合本项目实际情况，方案步骤清晰、合理； 3、针对性：方案紧扣项目实际情况，内容科学合理。 三、赋分标准（满分6分） ①生产工艺：每完全满足一项评审标准得1分，满分3分； ②拟采用的印刷及装订技术规范:每完全满足一项评审标准得1分，满分3分。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针对本项目提供具体的实施方案，方案内容包含①生产组织能力②进度控制措施③技术力量配备④管理和协调方法⑤仓储条件。 二、评审标准 1、完整性：方案全面，对评审内容中的各项要求有详细描述及说明； 2、可实施性：切合本项目实际情况，方案步骤清晰、合理； 3、针对性：方案紧扣项目实际情况，内容科学合理。 三、赋分标准（满分7.5分） ①生产组织能力：每完全满足一项评审标准得0.5分，满分1.5分； ②进度控制措施:每完全满足一项评审标准得0.5分，满分1.5分； ③技术力量配备:每完全满足一项评审标准得0.5分，满分1.5分； ④管理和协调方法:每完全满足一项评审标准得0.5分，满分1.5分； ⑤仓储条件：每完全满足一项评审标准得0.5分，满分1.5分。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保障措施方案</w:t>
            </w:r>
          </w:p>
        </w:tc>
        <w:tc>
          <w:tcPr>
            <w:tcW w:type="dxa" w:w="2492"/>
          </w:tcPr>
          <w:p>
            <w:pPr>
              <w:pStyle w:val="null3"/>
            </w:pPr>
            <w:r>
              <w:rPr>
                <w:rFonts w:ascii="仿宋_GB2312" w:hAnsi="仿宋_GB2312" w:cs="仿宋_GB2312" w:eastAsia="仿宋_GB2312"/>
              </w:rPr>
              <w:t>一、评审内容 针对本项目提供具体的保障措施方案，方案内容包含①生产流程管理体系②实施组织机构。 二、评审标准 1、完整性：方案全面，对评审内容中的各项要求有详细描述及说明； 2、可实施性：切合本项目实际情况，方案步骤清晰、合理； 3、针对性：方案紧扣项目实际情况，内容科学合理。 三、赋分标准（满分6分） ①生产流程管理体系：每完全满足一项评审标准得1分，满分3分； ②实施组织机构:每完全满足一项评审标准得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根据本项目特点制定应急方案，方案内容包含①停电、停水、火灾的预防及处置措施②设施设备损坏、人员不足的预防及处置措施。 二、评审标准 1、完整性：方案全面，对评审内容中的各项要求有详细描述及说明； 2、可实施性：切合本项目实际情况，方案步骤清晰、合理； 3、针对性：方案紧扣项目实际情况，内容科学合理。 三、赋分标准（满分3分） ①停电、停水、火灾的预防及处置措施：每完全满足一项评审标准得0.5分，满分1.5分； ②设施设备损坏、人员不足的预防及处置措施:每完全满足一项评审标准得0.5分，满分1.5分。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 针对本项目提出具体的运输供货方案，方案内容包含①运输工具及流程②运输中突发紧急情况。 二、评审标准 1、完整性：方案全面，对评审内容中的各项要求有详细描述及说明； 2、可实施性：切合本项目实际情况，方案步骤清晰、合理； 3、针对性：方案紧扣项目实际情况，内容科学合理。 三、赋分标准（满分6分） ①运输工具及流程：每完全满足一项评审标准得1分，满分3分； ②运输中突发紧急情况:每完全满足一项评审标准得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一、评审内容 针对本项目提出具体的安全保障措施，措施内容包含①安全生产管理②人员安全管理。 二、评审标准 1、完整性：方案全面，对评审内容中的各项要求有详细描述及说明； 2、可实施性：切合本项目实际情况，方案步骤清晰、合理； 3、针对性：方案紧扣项目实际情况，内容科学合理。 三、赋分标准（满分6分） ①安全生产管理：每完全满足一项评审标准得1分，满分3分； ②人员安全管理:每完全满足一项评审标准得1分，满分3分。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针对本项目的服务范围提出具体的售后服务方案，方案内容包含①交货后出现质量不合格采取的措施②供货不及时、残次品或服务造成采购人损失的解决方案③其他售后服务。 二、评审标准 1、完整性：方案全面，对评审内容中的各项要求有详细描述及说明； 2、可实施性：切合本项目实际情况，方案步骤清晰、合理； 3、针对性：方案紧扣项目实际情况，内容科学合理。 三、赋分标准（满分4.5分） ①交货后出现质量不合格采取的措施：每完全满足一项评审标准得0.5分，满分1.5分； ②供货不及时、残次品或服务造成采购人损失的解决方案:每完全满足一项评审标准得0.5分，满分1.5分； ③其他售后服务:每完全满足一项评审标准得0.5分，满分1.5分。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根据供应商所提供样品的①纸张质量②油墨质量③与本项目性质类似程度进行综合比较。 （1）纸张质量，得 0-2 分； （2）油墨质量，得 0-2 分； （3）与本项目性质类似程度，得 0-6分。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生产设备</w:t>
            </w:r>
          </w:p>
        </w:tc>
        <w:tc>
          <w:tcPr>
            <w:tcW w:type="dxa" w:w="2492"/>
          </w:tcPr>
          <w:p>
            <w:pPr>
              <w:pStyle w:val="null3"/>
            </w:pPr>
            <w:r>
              <w:rPr>
                <w:rFonts w:ascii="仿宋_GB2312" w:hAnsi="仿宋_GB2312" w:cs="仿宋_GB2312" w:eastAsia="仿宋_GB2312"/>
              </w:rPr>
              <w:t>1、供应商需提供关键印刷生产设备。关键印刷生产设备包括①印前 CTP 制版设备②完善的色彩管理流程及设备③四色及以上平张胶印机④全自动装订机⑤折页设备。每提供一种设备得 1.2分，满分 6 分。 每种设备的赋分依据：①设备照片②租赁或购买设备的合同复印件或发票。以上两项全部提供可得分，缺项或不提供不得分。 2、根据生产设备的先进性、完善性综合评审。生产设备完善、先进、生产率高，得 2 分；生产设备陈旧老化、生产率低，得 1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供应商需提供本项目所需油墨、铜版纸的合法正规来源渠道证明文件（提供其购买发票）。每提供一种材料的证明文件得 1 分，满分 2 分。备注：以加盖供应商公章的证明材料复印件为计分依据。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针对本项目具有良好的管理制度，制度内容包含①岗位职责：具有岗位工作标准、服务质量标准、现场质量控制体系②内控制度：具有管理组织机构、问责机制、监督机制、 自查制度③人员管理制度：具有员工日常管理办法、请销假制度、奖惩措施、激励机制。 二、评审标准 1、完整性：方案全面，对评审内容中的各项要求有详细描述及说明； 2、可实施性：切合本项目实际情况，方案步骤清晰、合理； 3、针对性：方案紧扣项目实际情况，内容科学合理。 三、赋分标准（满分4.5分） ①岗位职责：每完全满足一项评审标准得0.5分，满分1.5分； ②内控制度:每完全满足一项评审标准得 0.5 分，满分 1.5分； ③人员管理制度：每完全满足一项评审标准得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所有人员需提供投标前4个月内（不含投标当月）连续3个月由投标供应商缴纳社保证明材料的复印件（清单内容包含：具体人员姓名、年龄、学历、印刷相关专业证书、岗位职责、工作业绩和经验、当前分工），人员配置情况完整、科学、合理，切合本项目情况，得6分；人员配置情况一般、较合理，切合本项目情况一般，得4分；人员配置情况不完整，不能切合本项目情况，得2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2023年1月1日至今同类项目业绩（以合同签订日期为准），每份合格业绩合同计 3 分，满分 9 分。赋分依据：须同时提供完整合同业绩复印件。不提供或缺漏项不得分。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供应商具有以下体系认证且证书在有效期内得可得分，具备一项得 1 分，满分 3 分。 ①环境管理体系认证； ②质量管理体系认证； ③职业健康安全管理体系认证。 赋分依据：以加盖供应商公章的复印件为计分依据。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接受考核</w:t>
            </w:r>
          </w:p>
        </w:tc>
        <w:tc>
          <w:tcPr>
            <w:tcW w:type="dxa" w:w="2492"/>
          </w:tcPr>
          <w:p>
            <w:pPr>
              <w:pStyle w:val="null3"/>
            </w:pPr>
            <w:r>
              <w:rPr>
                <w:rFonts w:ascii="仿宋_GB2312" w:hAnsi="仿宋_GB2312" w:cs="仿宋_GB2312" w:eastAsia="仿宋_GB2312"/>
              </w:rPr>
              <w:t>1、承诺：接受采购人对服务的考核、监督及管理，得 0.5分。不承诺不得分。 2、承诺：定期调研采购人对服务质量的满意度并加以改进，确保服务工作的优质高效，得 0.5分。不承诺不得分。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满足竞争性磋商文件要求的有效报价中最低报价为最高得分点：报价最低计10分，其它报价所得分值按（最低报价／磋商报价）×10的公式计算。 注：本项目为专门面对中小企业采购项目，不再执行价格评审优惠的扶持政策。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