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版本号：LHZBZC2026037W20260424001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微纳级精密加工运动实验平台设备及多轴精密驱动平台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LHZBZC2026037W</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微纳级精密加工运动实验平台设备及多轴精密驱动平台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LHZBZC2026037W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微纳级精密加工运动实验平台设备及多轴精密驱动平台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本项目为微纳级精密加工运动实验平台设备及多轴精密驱动平台，分为2个采购包。采购包1为微纳级精密加工运动实验平台设备，采购包2为多轴精密驱动平台。采购内容如下： 采购包1：微纳级精密加工运动实验平台是面向前沿科学研究与高端技术人才培养的核心基础设施。该平台以微米、亚微米乃至纳米级的超高精度定位与运动控制为核心能力，集成了设计、加工、测试与表征等功能模块，服务于集成电路、新型微纳电子器件、低维材料、柔性电子、微机电系统（MEMS）、生物芯片等关键领域的教学与科研工作。本项目由并联驱动龙门运动平台和桌面式铣床两部分构成。能够满足高精度工业应用的需求，适应多种应用场景，该系统广泛应用于微系统制造、精密自动化组装及视觉检测等高精度、高效率的工业领域。可实现三维立体铣削加工。可用于小部件的铣削制造艺术，适用于样品原型制作和小规模生产，适用于MEMS器件、精密微孔、微流道等微观结构的加工。 采购包2：多轴精密驱动平台是一种高端光机电一体化设备，其核心设计目标是在极小的尺度上实现极高精度、高速度、高加速度和高稳定性的运动。该设备配备高精度的光栅传感器，能够实时监测每个轴的运动及反馈位置，确保运动精度达到亚微米级别，可同时控制多个轴的运动，通过精确的同步和协调，实现复杂的运动轨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8、控股管理关系：提供直接控股和管理关系承诺函。若与其他供应商存在单位负责人为同一人或者存在直接控股、管理关系的，则投标无效。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高禧、吴元帅、黄沛、李晨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采购包2：497,800.00元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开户银行：招商银行股份有限公司西安南大街支行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包；80万～400万项目参照国家计委颁发的《招标代理服务收费管理暂行办法》（计价格〔2002〕1980号）及（发改办价格〔2011〕534号）规定的70.00%计费。400万元以上项目参照国家计委颁发的《招标代理服务收费管理暂行办法》（计价格〔2002〕1980号）及（发改办价格〔2011〕534号）规定的65.00%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详见招标文件及采购合同约定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联系人：高禧、吴元帅、黄沛、李晨</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本项目为微纳级精密加工运动实验平台设备及多轴精密驱动平台，分为2个采购包。采购包1为微纳级精密加工运动实验平台设备，采购包2为多轴精密驱动平台。采购内容如下： 采购包1：微纳级精密加工运动实验平台是面向前沿科学研究与高端技术人才培养的核心基础设施。该平台以微米、亚微米乃至纳米级的超高精度定位与运动控制为核心能力，集成了设计、加工、测试与表征等功能模块，服务于集成电路、新型微纳电子器件、低维材料、柔性电子、微机电系统（MEMS）、生物芯片等关键领域的教学与科研工作。本项目由并联驱动龙门运动平台和桌面式铣床两部分构成。能够满足高精度工业应用的需求，适应多种应用场景，该系统广泛应用于微系统制造、精密自动化组装及视觉检测等高精度、高效率的工业领域。可实现三维立体铣削加工。可用于小部件的铣削制造艺术，适用于样品原型制作和小规模生产，适用于MEMS器件、精密微孔、微流道等微观结构的加工。 采购包2：多轴精密驱动平台是一种高端光机电一体化设备，其核心设计目标是在极小的尺度上实现极高精度、高速度、高加速度和高稳定性的运动。该设备配备高精度的光栅传感器，能够实时监测每个轴的运动及反馈位置，确保运动精度达到亚微米级别，可同时控制多个轴的运动，通过精确的同步和协调，实现复杂的运动轨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微纳级精密加工运动实验平台设备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497,800.00</w:t>
      </w:r>
    </w:p>
    <w:p>
      <w:pPr>
        <w:pStyle w:val="null3"/>
      </w:pPr>
      <w:r>
        <w:rPr>
          <w:rFonts w:ascii="仿宋_GB2312" w:hAnsi="仿宋_GB2312" w:cs="仿宋_GB2312" w:eastAsia="仿宋_GB2312"/>
        </w:rPr>
        <w:t>采购包最高限价（元）: 497,800.00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多轴精密驱动平台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497,800.00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标的名称：微纳级精密加工运动实验平台设备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配置清单</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并联驱动龙门系统</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桌面型铣床系统</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b/>
              </w:rPr>
              <w:t>并联驱动龙门系统</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、外型尺寸：</w:t>
            </w:r>
            <w:r>
              <w:rPr>
                <w:rFonts w:ascii="仿宋_GB2312" w:hAnsi="仿宋_GB2312" w:cs="仿宋_GB2312" w:eastAsia="仿宋_GB2312"/>
                <w:sz w:val="21"/>
              </w:rPr>
              <w:t>≤1500*1500*1500mm</w:t>
            </w:r>
            <w:r>
              <w:rPr>
                <w:rFonts w:ascii="仿宋_GB2312" w:hAnsi="仿宋_GB2312" w:cs="仿宋_GB2312" w:eastAsia="仿宋_GB2312"/>
                <w:sz w:val="21"/>
              </w:rPr>
              <w:t>（长宽高）；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、行程：</w:t>
            </w:r>
            <w:r>
              <w:rPr>
                <w:rFonts w:ascii="仿宋_GB2312" w:hAnsi="仿宋_GB2312" w:cs="仿宋_GB2312" w:eastAsia="仿宋_GB2312"/>
                <w:sz w:val="21"/>
              </w:rPr>
              <w:t>X</w:t>
            </w:r>
            <w:r>
              <w:rPr>
                <w:rFonts w:ascii="仿宋_GB2312" w:hAnsi="仿宋_GB2312" w:cs="仿宋_GB2312" w:eastAsia="仿宋_GB2312"/>
                <w:sz w:val="21"/>
              </w:rPr>
              <w:t xml:space="preserve">轴 </w:t>
            </w:r>
            <w:r>
              <w:rPr>
                <w:rFonts w:ascii="仿宋_GB2312" w:hAnsi="仿宋_GB2312" w:cs="仿宋_GB2312" w:eastAsia="仿宋_GB2312"/>
                <w:sz w:val="21"/>
              </w:rPr>
              <w:t>≥500mm</w:t>
            </w:r>
            <w:r>
              <w:rPr>
                <w:rFonts w:ascii="仿宋_GB2312" w:hAnsi="仿宋_GB2312" w:cs="仿宋_GB2312" w:eastAsia="仿宋_GB2312"/>
                <w:sz w:val="21"/>
              </w:rPr>
              <w:t xml:space="preserve">， </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≥500mm</w:t>
            </w:r>
            <w:r>
              <w:rPr>
                <w:rFonts w:ascii="仿宋_GB2312" w:hAnsi="仿宋_GB2312" w:cs="仿宋_GB2312" w:eastAsia="仿宋_GB2312"/>
                <w:sz w:val="21"/>
              </w:rPr>
              <w:t xml:space="preserve">， </w:t>
            </w:r>
            <w:r>
              <w:rPr>
                <w:rFonts w:ascii="仿宋_GB2312" w:hAnsi="仿宋_GB2312" w:cs="仿宋_GB2312" w:eastAsia="仿宋_GB2312"/>
                <w:sz w:val="21"/>
              </w:rPr>
              <w:t>Z</w:t>
            </w:r>
            <w:r>
              <w:rPr>
                <w:rFonts w:ascii="仿宋_GB2312" w:hAnsi="仿宋_GB2312" w:cs="仿宋_GB2312" w:eastAsia="仿宋_GB2312"/>
                <w:sz w:val="21"/>
              </w:rPr>
              <w:t xml:space="preserve">轴 </w:t>
            </w:r>
            <w:r>
              <w:rPr>
                <w:rFonts w:ascii="仿宋_GB2312" w:hAnsi="仿宋_GB2312" w:cs="仿宋_GB2312" w:eastAsia="仿宋_GB2312"/>
                <w:sz w:val="21"/>
              </w:rPr>
              <w:t>≥100mm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 xml:space="preserve">轴 </w:t>
            </w:r>
            <w:r>
              <w:rPr>
                <w:rFonts w:ascii="仿宋_GB2312" w:hAnsi="仿宋_GB2312" w:cs="仿宋_GB2312" w:eastAsia="仿宋_GB2312"/>
                <w:sz w:val="21"/>
              </w:rPr>
              <w:t>≥±110°</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轴</w:t>
            </w:r>
            <w:r>
              <w:rPr>
                <w:rFonts w:ascii="仿宋_GB2312" w:hAnsi="仿宋_GB2312" w:cs="仿宋_GB2312" w:eastAsia="仿宋_GB2312"/>
                <w:sz w:val="21"/>
              </w:rPr>
              <w:t>360°</w:t>
            </w:r>
            <w:r>
              <w:rPr>
                <w:rFonts w:ascii="仿宋_GB2312" w:hAnsi="仿宋_GB2312" w:cs="仿宋_GB2312" w:eastAsia="仿宋_GB2312"/>
                <w:sz w:val="21"/>
              </w:rPr>
              <w:t>连续；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、绝对定位精度：</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 ±1.5μm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≤±1μm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轴</w:t>
            </w:r>
            <w:r>
              <w:rPr>
                <w:rFonts w:ascii="仿宋_GB2312" w:hAnsi="仿宋_GB2312" w:cs="仿宋_GB2312" w:eastAsia="仿宋_GB2312"/>
                <w:sz w:val="21"/>
              </w:rPr>
              <w:t>≤±5arcsec</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轴</w:t>
            </w:r>
            <w:r>
              <w:rPr>
                <w:rFonts w:ascii="仿宋_GB2312" w:hAnsi="仿宋_GB2312" w:cs="仿宋_GB2312" w:eastAsia="仿宋_GB2312"/>
                <w:sz w:val="21"/>
              </w:rPr>
              <w:t>≤±5arcsec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、重复定位精度：</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≤±0.5μm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≤±0.4μm</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轴</w:t>
            </w:r>
            <w:r>
              <w:rPr>
                <w:rFonts w:ascii="仿宋_GB2312" w:hAnsi="仿宋_GB2312" w:cs="仿宋_GB2312" w:eastAsia="仿宋_GB2312"/>
                <w:sz w:val="21"/>
              </w:rPr>
              <w:t>≤±2arcsec</w:t>
            </w:r>
            <w:r>
              <w:rPr>
                <w:rFonts w:ascii="仿宋_GB2312" w:hAnsi="仿宋_GB2312" w:cs="仿宋_GB2312" w:eastAsia="仿宋_GB2312"/>
                <w:sz w:val="21"/>
              </w:rPr>
              <w:t>，</w:t>
            </w:r>
            <w:r>
              <w:rPr>
                <w:rFonts w:ascii="仿宋_GB2312" w:hAnsi="仿宋_GB2312" w:cs="仿宋_GB2312" w:eastAsia="仿宋_GB2312"/>
                <w:sz w:val="21"/>
              </w:rPr>
              <w:t>B</w:t>
            </w:r>
            <w:r>
              <w:rPr>
                <w:rFonts w:ascii="仿宋_GB2312" w:hAnsi="仿宋_GB2312" w:cs="仿宋_GB2312" w:eastAsia="仿宋_GB2312"/>
                <w:sz w:val="21"/>
              </w:rPr>
              <w:t>轴</w:t>
            </w:r>
            <w:r>
              <w:rPr>
                <w:rFonts w:ascii="仿宋_GB2312" w:hAnsi="仿宋_GB2312" w:cs="仿宋_GB2312" w:eastAsia="仿宋_GB2312"/>
                <w:sz w:val="21"/>
              </w:rPr>
              <w:t>≤±2arcsec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、直线度：</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≤±2.5μm</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≤±3μm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、正交性：</w:t>
            </w:r>
            <w:r>
              <w:rPr>
                <w:rFonts w:ascii="仿宋_GB2312" w:hAnsi="仿宋_GB2312" w:cs="仿宋_GB2312" w:eastAsia="仿宋_GB2312"/>
                <w:sz w:val="21"/>
              </w:rPr>
              <w:t>XY</w:t>
            </w:r>
            <w:r>
              <w:rPr>
                <w:rFonts w:ascii="仿宋_GB2312" w:hAnsi="仿宋_GB2312" w:cs="仿宋_GB2312" w:eastAsia="仿宋_GB2312"/>
                <w:sz w:val="21"/>
              </w:rPr>
              <w:t>轴</w:t>
            </w:r>
            <w:r>
              <w:rPr>
                <w:rFonts w:ascii="仿宋_GB2312" w:hAnsi="仿宋_GB2312" w:cs="仿宋_GB2312" w:eastAsia="仿宋_GB2312"/>
                <w:sz w:val="21"/>
              </w:rPr>
              <w:t>≤15 arcsec</w:t>
            </w:r>
            <w:r>
              <w:rPr>
                <w:rFonts w:ascii="仿宋_GB2312" w:hAnsi="仿宋_GB2312" w:cs="仿宋_GB2312" w:eastAsia="仿宋_GB2312"/>
                <w:sz w:val="21"/>
              </w:rPr>
              <w:t>，</w:t>
            </w:r>
            <w:r>
              <w:rPr>
                <w:rFonts w:ascii="仿宋_GB2312" w:hAnsi="仿宋_GB2312" w:cs="仿宋_GB2312" w:eastAsia="仿宋_GB2312"/>
                <w:sz w:val="21"/>
              </w:rPr>
              <w:t>AB</w:t>
            </w:r>
            <w:r>
              <w:rPr>
                <w:rFonts w:ascii="仿宋_GB2312" w:hAnsi="仿宋_GB2312" w:cs="仿宋_GB2312" w:eastAsia="仿宋_GB2312"/>
                <w:sz w:val="21"/>
              </w:rPr>
              <w:t>轴：</w:t>
            </w:r>
            <w:r>
              <w:rPr>
                <w:rFonts w:ascii="仿宋_GB2312" w:hAnsi="仿宋_GB2312" w:cs="仿宋_GB2312" w:eastAsia="仿宋_GB2312"/>
                <w:sz w:val="21"/>
              </w:rPr>
              <w:t>≤10 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、最小步进：</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 100nm</w:t>
            </w:r>
            <w:r>
              <w:rPr>
                <w:rFonts w:ascii="仿宋_GB2312" w:hAnsi="仿宋_GB2312" w:cs="仿宋_GB2312" w:eastAsia="仿宋_GB2312"/>
                <w:sz w:val="21"/>
              </w:rPr>
              <w:t>，</w:t>
            </w:r>
            <w:r>
              <w:rPr>
                <w:rFonts w:ascii="仿宋_GB2312" w:hAnsi="仿宋_GB2312" w:cs="仿宋_GB2312" w:eastAsia="仿宋_GB2312"/>
                <w:sz w:val="21"/>
              </w:rPr>
              <w:t>AB</w:t>
            </w:r>
            <w:r>
              <w:rPr>
                <w:rFonts w:ascii="仿宋_GB2312" w:hAnsi="仿宋_GB2312" w:cs="仿宋_GB2312" w:eastAsia="仿宋_GB2312"/>
                <w:sz w:val="21"/>
              </w:rPr>
              <w:t>轴：</w:t>
            </w:r>
            <w:r>
              <w:rPr>
                <w:rFonts w:ascii="仿宋_GB2312" w:hAnsi="仿宋_GB2312" w:cs="仿宋_GB2312" w:eastAsia="仿宋_GB2312"/>
                <w:sz w:val="21"/>
              </w:rPr>
              <w:t>≤0.5 arcsec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≤5nm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、控制器轴数：</w:t>
            </w:r>
            <w:r>
              <w:rPr>
                <w:rFonts w:ascii="仿宋_GB2312" w:hAnsi="仿宋_GB2312" w:cs="仿宋_GB2312" w:eastAsia="仿宋_GB2312"/>
                <w:sz w:val="21"/>
              </w:rPr>
              <w:t>≥5</w:t>
            </w:r>
            <w:r>
              <w:rPr>
                <w:rFonts w:ascii="仿宋_GB2312" w:hAnsi="仿宋_GB2312" w:cs="仿宋_GB2312" w:eastAsia="仿宋_GB2312"/>
                <w:sz w:val="21"/>
              </w:rPr>
              <w:t>轴；</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、通讯协议：</w:t>
            </w:r>
            <w:r>
              <w:rPr>
                <w:rFonts w:ascii="仿宋_GB2312" w:hAnsi="仿宋_GB2312" w:cs="仿宋_GB2312" w:eastAsia="仿宋_GB2312"/>
                <w:sz w:val="21"/>
              </w:rPr>
              <w:t>EtherCAT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、伺服频率：</w:t>
            </w:r>
            <w:r>
              <w:rPr>
                <w:rFonts w:ascii="仿宋_GB2312" w:hAnsi="仿宋_GB2312" w:cs="仿宋_GB2312" w:eastAsia="仿宋_GB2312"/>
                <w:sz w:val="21"/>
              </w:rPr>
              <w:t>≥20kHz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桌面型铣床系统：</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、外型尺寸：</w:t>
            </w:r>
            <w:r>
              <w:rPr>
                <w:rFonts w:ascii="仿宋_GB2312" w:hAnsi="仿宋_GB2312" w:cs="仿宋_GB2312" w:eastAsia="仿宋_GB2312"/>
                <w:sz w:val="21"/>
              </w:rPr>
              <w:t>≤700*650*650mm</w:t>
            </w:r>
            <w:r>
              <w:rPr>
                <w:rFonts w:ascii="仿宋_GB2312" w:hAnsi="仿宋_GB2312" w:cs="仿宋_GB2312" w:eastAsia="仿宋_GB2312"/>
                <w:sz w:val="21"/>
              </w:rPr>
              <w:t>（长宽高）；</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、行程：</w:t>
            </w:r>
            <w:r>
              <w:rPr>
                <w:rFonts w:ascii="仿宋_GB2312" w:hAnsi="仿宋_GB2312" w:cs="仿宋_GB2312" w:eastAsia="仿宋_GB2312"/>
                <w:sz w:val="21"/>
              </w:rPr>
              <w:t>X</w:t>
            </w:r>
            <w:r>
              <w:rPr>
                <w:rFonts w:ascii="仿宋_GB2312" w:hAnsi="仿宋_GB2312" w:cs="仿宋_GB2312" w:eastAsia="仿宋_GB2312"/>
                <w:sz w:val="21"/>
              </w:rPr>
              <w:t xml:space="preserve">轴 </w:t>
            </w:r>
            <w:r>
              <w:rPr>
                <w:rFonts w:ascii="仿宋_GB2312" w:hAnsi="仿宋_GB2312" w:cs="仿宋_GB2312" w:eastAsia="仿宋_GB2312"/>
                <w:sz w:val="21"/>
              </w:rPr>
              <w:t>≥300mm</w:t>
            </w:r>
            <w:r>
              <w:rPr>
                <w:rFonts w:ascii="仿宋_GB2312" w:hAnsi="仿宋_GB2312" w:cs="仿宋_GB2312" w:eastAsia="仿宋_GB2312"/>
                <w:sz w:val="21"/>
              </w:rPr>
              <w:t xml:space="preserve">， </w:t>
            </w:r>
            <w:r>
              <w:rPr>
                <w:rFonts w:ascii="仿宋_GB2312" w:hAnsi="仿宋_GB2312" w:cs="仿宋_GB2312" w:eastAsia="仿宋_GB2312"/>
                <w:sz w:val="21"/>
              </w:rPr>
              <w:t>Y</w:t>
            </w:r>
            <w:r>
              <w:rPr>
                <w:rFonts w:ascii="仿宋_GB2312" w:hAnsi="仿宋_GB2312" w:cs="仿宋_GB2312" w:eastAsia="仿宋_GB2312"/>
                <w:sz w:val="21"/>
              </w:rPr>
              <w:t>轴</w:t>
            </w:r>
            <w:r>
              <w:rPr>
                <w:rFonts w:ascii="仿宋_GB2312" w:hAnsi="仿宋_GB2312" w:cs="仿宋_GB2312" w:eastAsia="仿宋_GB2312"/>
                <w:sz w:val="21"/>
              </w:rPr>
              <w:t>≥200mm</w:t>
            </w:r>
            <w:r>
              <w:rPr>
                <w:rFonts w:ascii="仿宋_GB2312" w:hAnsi="仿宋_GB2312" w:cs="仿宋_GB2312" w:eastAsia="仿宋_GB2312"/>
                <w:sz w:val="21"/>
              </w:rPr>
              <w:t xml:space="preserve">， </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 200mm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、定位精度：</w:t>
            </w:r>
            <w:r>
              <w:rPr>
                <w:rFonts w:ascii="仿宋_GB2312" w:hAnsi="仿宋_GB2312" w:cs="仿宋_GB2312" w:eastAsia="仿宋_GB2312"/>
                <w:sz w:val="21"/>
              </w:rPr>
              <w:t>≤±2.5μm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、进给速度：</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1.2 mm/min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、分辨率：</w:t>
            </w:r>
            <w:r>
              <w:rPr>
                <w:rFonts w:ascii="仿宋_GB2312" w:hAnsi="仿宋_GB2312" w:cs="仿宋_GB2312" w:eastAsia="仿宋_GB2312"/>
                <w:sz w:val="21"/>
              </w:rPr>
              <w:t>≤0.1μm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、主轴转速：</w:t>
            </w:r>
            <w:r>
              <w:rPr>
                <w:rFonts w:ascii="仿宋_GB2312" w:hAnsi="仿宋_GB2312" w:cs="仿宋_GB2312" w:eastAsia="仿宋_GB2312"/>
                <w:sz w:val="21"/>
              </w:rPr>
              <w:t>≥60000 rpm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、回转误差：</w:t>
            </w:r>
            <w:r>
              <w:rPr>
                <w:rFonts w:ascii="仿宋_GB2312" w:hAnsi="仿宋_GB2312" w:cs="仿宋_GB2312" w:eastAsia="仿宋_GB2312"/>
                <w:sz w:val="21"/>
              </w:rPr>
              <w:t>≤0.1μm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驱控系统</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采用国产自研碳化硅</w:t>
            </w:r>
            <w:r>
              <w:rPr>
                <w:rFonts w:ascii="仿宋_GB2312" w:hAnsi="仿宋_GB2312" w:cs="仿宋_GB2312" w:eastAsia="仿宋_GB2312"/>
                <w:sz w:val="21"/>
              </w:rPr>
              <w:t>MOSFET</w:t>
            </w:r>
            <w:r>
              <w:rPr>
                <w:rFonts w:ascii="仿宋_GB2312" w:hAnsi="仿宋_GB2312" w:cs="仿宋_GB2312" w:eastAsia="仿宋_GB2312"/>
                <w:sz w:val="21"/>
              </w:rPr>
              <w:t>驱控系统；</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驱控一体，控制轴数</w:t>
            </w:r>
            <w:r>
              <w:rPr>
                <w:rFonts w:ascii="仿宋_GB2312" w:hAnsi="仿宋_GB2312" w:cs="仿宋_GB2312" w:eastAsia="仿宋_GB2312"/>
                <w:sz w:val="21"/>
              </w:rPr>
              <w:t>≥8</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伺服频率</w:t>
            </w:r>
            <w:r>
              <w:rPr>
                <w:rFonts w:ascii="仿宋_GB2312" w:hAnsi="仿宋_GB2312" w:cs="仿宋_GB2312" w:eastAsia="仿宋_GB2312"/>
                <w:sz w:val="21"/>
              </w:rPr>
              <w:t>≥20kHz</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支持五轴联动；</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支持直线、圆弧、样条和</w:t>
            </w:r>
            <w:r>
              <w:rPr>
                <w:rFonts w:ascii="仿宋_GB2312" w:hAnsi="仿宋_GB2312" w:cs="仿宋_GB2312" w:eastAsia="仿宋_GB2312"/>
                <w:sz w:val="21"/>
              </w:rPr>
              <w:t>PVT</w:t>
            </w:r>
            <w:r>
              <w:rPr>
                <w:rFonts w:ascii="仿宋_GB2312" w:hAnsi="仿宋_GB2312" w:cs="仿宋_GB2312" w:eastAsia="仿宋_GB2312"/>
                <w:sz w:val="21"/>
              </w:rPr>
              <w:t>插补；</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支持电子齿轮和电子凸轮；</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支持空间任意平面刀具半径补偿；</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可完成高阶轨迹规划微小线段插补；</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具备上位机控制软件，控制系统接口开放，可调用函数实现平台自定义运动指令，具备二次开发功能；</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支持共振抑制以及伺服参数自整定以及进度补偿；</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供电电压：</w:t>
            </w:r>
            <w:r>
              <w:rPr>
                <w:rFonts w:ascii="仿宋_GB2312" w:hAnsi="仿宋_GB2312" w:cs="仿宋_GB2312" w:eastAsia="仿宋_GB2312"/>
                <w:sz w:val="21"/>
              </w:rPr>
              <w:t>220VAC</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通讯协议：</w:t>
            </w:r>
            <w:r>
              <w:rPr>
                <w:rFonts w:ascii="仿宋_GB2312" w:hAnsi="仿宋_GB2312" w:cs="仿宋_GB2312" w:eastAsia="仿宋_GB2312"/>
                <w:sz w:val="21"/>
              </w:rPr>
              <w:t>EtherCAT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工艺软件</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桌面铣床须具有自研工艺软件，并具备二次开发权限；</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支持钻孔、雕刻等轨迹规划模块；</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G</w:t>
            </w:r>
            <w:r>
              <w:rPr>
                <w:rFonts w:ascii="仿宋_GB2312" w:hAnsi="仿宋_GB2312" w:cs="仿宋_GB2312" w:eastAsia="仿宋_GB2312"/>
                <w:sz w:val="21"/>
              </w:rPr>
              <w:t>代码以及多轴</w:t>
            </w:r>
            <w:r>
              <w:rPr>
                <w:rFonts w:ascii="仿宋_GB2312" w:hAnsi="仿宋_GB2312" w:cs="仿宋_GB2312" w:eastAsia="仿宋_GB2312"/>
                <w:sz w:val="21"/>
              </w:rPr>
              <w:t>PVT</w:t>
            </w:r>
            <w:r>
              <w:rPr>
                <w:rFonts w:ascii="仿宋_GB2312" w:hAnsi="仿宋_GB2312" w:cs="仿宋_GB2312" w:eastAsia="仿宋_GB2312"/>
                <w:sz w:val="21"/>
              </w:rPr>
              <w:t>插补联动；</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支持多坐标系变换；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支持自动对刀、换刀；</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支持共振抑制、伺服参数自整定以及精度补偿。</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标的名称：多轴精密驱动平台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配置清单：</w:t>
            </w:r>
          </w:p>
          <w:p>
            <w:pPr>
              <w:pStyle w:val="null3"/>
              <w:jc w:val="both"/>
            </w:pPr>
            <w:r>
              <w:rPr>
                <w:rFonts w:ascii="仿宋_GB2312" w:hAnsi="仿宋_GB2312" w:cs="仿宋_GB2312" w:eastAsia="仿宋_GB2312"/>
                <w:sz w:val="21"/>
                <w:b/>
              </w:rPr>
              <w:t>1</w:t>
            </w:r>
            <w:r>
              <w:rPr>
                <w:rFonts w:ascii="仿宋_GB2312" w:hAnsi="仿宋_GB2312" w:cs="仿宋_GB2312" w:eastAsia="仿宋_GB2312"/>
                <w:sz w:val="21"/>
                <w:b/>
              </w:rPr>
              <w:t>、</w:t>
            </w:r>
            <w:r>
              <w:rPr>
                <w:rFonts w:ascii="仿宋_GB2312" w:hAnsi="仿宋_GB2312" w:cs="仿宋_GB2312" w:eastAsia="仿宋_GB2312"/>
                <w:sz w:val="21"/>
                <w:b/>
              </w:rPr>
              <w:t>高精密</w:t>
            </w:r>
            <w:r>
              <w:rPr>
                <w:rFonts w:ascii="仿宋_GB2312" w:hAnsi="仿宋_GB2312" w:cs="仿宋_GB2312" w:eastAsia="仿宋_GB2312"/>
                <w:sz w:val="21"/>
                <w:b/>
              </w:rPr>
              <w:t>XYZ</w:t>
            </w:r>
            <w:r>
              <w:rPr>
                <w:rFonts w:ascii="仿宋_GB2312" w:hAnsi="仿宋_GB2312" w:cs="仿宋_GB2312" w:eastAsia="仿宋_GB2312"/>
                <w:sz w:val="21"/>
                <w:b/>
              </w:rPr>
              <w:t>平台</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b/>
              </w:rPr>
              <w:t>2</w:t>
            </w:r>
            <w:r>
              <w:rPr>
                <w:rFonts w:ascii="仿宋_GB2312" w:hAnsi="仿宋_GB2312" w:cs="仿宋_GB2312" w:eastAsia="仿宋_GB2312"/>
                <w:sz w:val="21"/>
                <w:b/>
              </w:rPr>
              <w:t>、</w:t>
            </w:r>
            <w:r>
              <w:rPr>
                <w:rFonts w:ascii="仿宋_GB2312" w:hAnsi="仿宋_GB2312" w:cs="仿宋_GB2312" w:eastAsia="仿宋_GB2312"/>
                <w:sz w:val="21"/>
                <w:b/>
              </w:rPr>
              <w:t>高精密</w:t>
            </w:r>
            <w:r>
              <w:rPr>
                <w:rFonts w:ascii="仿宋_GB2312" w:hAnsi="仿宋_GB2312" w:cs="仿宋_GB2312" w:eastAsia="仿宋_GB2312"/>
                <w:sz w:val="21"/>
                <w:b/>
              </w:rPr>
              <w:t>XY</w:t>
            </w:r>
            <w:r>
              <w:rPr>
                <w:rFonts w:ascii="仿宋_GB2312" w:hAnsi="仿宋_GB2312" w:cs="仿宋_GB2312" w:eastAsia="仿宋_GB2312"/>
                <w:sz w:val="21"/>
                <w:b/>
              </w:rPr>
              <w:t>步进平台</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高精密六轴位移台</w:t>
            </w:r>
            <w:r>
              <w:rPr>
                <w:rFonts w:ascii="仿宋_GB2312" w:hAnsi="仿宋_GB2312" w:cs="仿宋_GB2312" w:eastAsia="仿宋_GB2312"/>
                <w:sz w:val="21"/>
                <w:b/>
              </w:rPr>
              <w:t>，</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jc w:val="both"/>
            </w:pPr>
            <w:r>
              <w:rPr>
                <w:rFonts w:ascii="仿宋_GB2312" w:hAnsi="仿宋_GB2312" w:cs="仿宋_GB2312" w:eastAsia="仿宋_GB2312"/>
                <w:sz w:val="21"/>
                <w:b/>
              </w:rPr>
              <w:t>高精密</w:t>
            </w:r>
            <w:r>
              <w:rPr>
                <w:rFonts w:ascii="仿宋_GB2312" w:hAnsi="仿宋_GB2312" w:cs="仿宋_GB2312" w:eastAsia="仿宋_GB2312"/>
                <w:sz w:val="21"/>
                <w:b/>
              </w:rPr>
              <w:t>XYZ</w:t>
            </w:r>
            <w:r>
              <w:rPr>
                <w:rFonts w:ascii="仿宋_GB2312" w:hAnsi="仿宋_GB2312" w:cs="仿宋_GB2312" w:eastAsia="仿宋_GB2312"/>
                <w:sz w:val="21"/>
                <w:b/>
              </w:rPr>
              <w:t>平台</w:t>
            </w:r>
            <w:r>
              <w:br/>
            </w:r>
            <w:r>
              <w:rPr>
                <w:rFonts w:ascii="仿宋_GB2312" w:hAnsi="仿宋_GB2312" w:cs="仿宋_GB2312" w:eastAsia="仿宋_GB2312"/>
                <w:sz w:val="21"/>
              </w:rPr>
              <w:t>1.</w:t>
            </w:r>
            <w:r>
              <w:rPr>
                <w:rFonts w:ascii="仿宋_GB2312" w:hAnsi="仿宋_GB2312" w:cs="仿宋_GB2312" w:eastAsia="仿宋_GB2312"/>
                <w:sz w:val="21"/>
              </w:rPr>
              <w:t>行程（</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≥200mm*200mm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定位精度（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≤±0.25um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双向重复定位精度（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≤±0.15um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直线度（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≤±2um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平面度（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≤±2um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在位稳定性（</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≤±20nm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最大速度（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≥200mm/s</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正交性（</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≤5 arcsec</w:t>
            </w:r>
            <w:r>
              <w:rPr>
                <w:rFonts w:ascii="仿宋_GB2312" w:hAnsi="仿宋_GB2312" w:cs="仿宋_GB2312" w:eastAsia="仿宋_GB2312"/>
                <w:sz w:val="21"/>
              </w:rPr>
              <w:t>（校准后）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整定时间（</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1mm</w:t>
            </w:r>
            <w:r>
              <w:rPr>
                <w:rFonts w:ascii="仿宋_GB2312" w:hAnsi="仿宋_GB2312" w:cs="仿宋_GB2312" w:eastAsia="仿宋_GB2312"/>
                <w:sz w:val="21"/>
              </w:rPr>
              <w:t>距离，位置误差</w:t>
            </w:r>
            <w:r>
              <w:rPr>
                <w:rFonts w:ascii="仿宋_GB2312" w:hAnsi="仿宋_GB2312" w:cs="仿宋_GB2312" w:eastAsia="仿宋_GB2312"/>
                <w:sz w:val="21"/>
              </w:rPr>
              <w:t>&lt; ±100nm</w:t>
            </w:r>
            <w:r>
              <w:rPr>
                <w:rFonts w:ascii="仿宋_GB2312" w:hAnsi="仿宋_GB2312" w:cs="仿宋_GB2312" w:eastAsia="仿宋_GB2312"/>
                <w:sz w:val="21"/>
              </w:rPr>
              <w:t>的情况下，整定时间小于</w:t>
            </w:r>
            <w:r>
              <w:rPr>
                <w:rFonts w:ascii="仿宋_GB2312" w:hAnsi="仿宋_GB2312" w:cs="仿宋_GB2312" w:eastAsia="仿宋_GB2312"/>
                <w:sz w:val="21"/>
              </w:rPr>
              <w:t>100ms</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跟踪误差（</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≤±120nm@1-10mm/s</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行程（</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≥15mm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定位精度（</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≤±0.25um</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双向重复定位精度（</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≤±0.1um</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直线度（</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≤±2um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在位稳定性（</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≤±25nm</w:t>
            </w:r>
          </w:p>
          <w:p>
            <w:pPr>
              <w:pStyle w:val="null3"/>
              <w:jc w:val="both"/>
            </w:pPr>
            <w:r>
              <w:rPr>
                <w:rFonts w:ascii="仿宋_GB2312" w:hAnsi="仿宋_GB2312" w:cs="仿宋_GB2312" w:eastAsia="仿宋_GB2312"/>
                <w:sz w:val="21"/>
              </w:rPr>
              <w:t>16.</w:t>
            </w:r>
            <w:r>
              <w:rPr>
                <w:rFonts w:ascii="仿宋_GB2312" w:hAnsi="仿宋_GB2312" w:cs="仿宋_GB2312" w:eastAsia="仿宋_GB2312"/>
                <w:sz w:val="21"/>
              </w:rPr>
              <w:t>最大速度（</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≥10mm/s</w:t>
            </w:r>
          </w:p>
          <w:p>
            <w:pPr>
              <w:pStyle w:val="null3"/>
              <w:jc w:val="both"/>
            </w:pPr>
            <w:r>
              <w:rPr>
                <w:rFonts w:ascii="仿宋_GB2312" w:hAnsi="仿宋_GB2312" w:cs="仿宋_GB2312" w:eastAsia="仿宋_GB2312"/>
                <w:sz w:val="21"/>
              </w:rPr>
              <w:t>17.</w:t>
            </w:r>
            <w:r>
              <w:rPr>
                <w:rFonts w:ascii="仿宋_GB2312" w:hAnsi="仿宋_GB2312" w:cs="仿宋_GB2312" w:eastAsia="仿宋_GB2312"/>
                <w:sz w:val="21"/>
              </w:rPr>
              <w:t>要求带载（</w:t>
            </w:r>
            <w:r>
              <w:rPr>
                <w:rFonts w:ascii="仿宋_GB2312" w:hAnsi="仿宋_GB2312" w:cs="仿宋_GB2312" w:eastAsia="仿宋_GB2312"/>
                <w:sz w:val="21"/>
              </w:rPr>
              <w:t>3.5KG</w:t>
            </w:r>
            <w:r>
              <w:rPr>
                <w:rFonts w:ascii="仿宋_GB2312" w:hAnsi="仿宋_GB2312" w:cs="仿宋_GB2312" w:eastAsia="仿宋_GB2312"/>
                <w:sz w:val="21"/>
              </w:rPr>
              <w:t xml:space="preserve">）情况下： </w:t>
            </w:r>
            <w:r>
              <w:rPr>
                <w:rFonts w:ascii="仿宋_GB2312" w:hAnsi="仿宋_GB2312" w:cs="仿宋_GB2312" w:eastAsia="仿宋_GB2312"/>
                <w:sz w:val="21"/>
              </w:rPr>
              <w:t>Z</w:t>
            </w:r>
            <w:r>
              <w:rPr>
                <w:rFonts w:ascii="仿宋_GB2312" w:hAnsi="仿宋_GB2312" w:cs="仿宋_GB2312" w:eastAsia="仿宋_GB2312"/>
                <w:sz w:val="21"/>
              </w:rPr>
              <w:t>轴</w:t>
            </w:r>
            <w:r>
              <w:rPr>
                <w:rFonts w:ascii="仿宋_GB2312" w:hAnsi="仿宋_GB2312" w:cs="仿宋_GB2312" w:eastAsia="仿宋_GB2312"/>
                <w:sz w:val="21"/>
              </w:rPr>
              <w:t>1um</w:t>
            </w:r>
            <w:r>
              <w:rPr>
                <w:rFonts w:ascii="仿宋_GB2312" w:hAnsi="仿宋_GB2312" w:cs="仿宋_GB2312" w:eastAsia="仿宋_GB2312"/>
                <w:sz w:val="21"/>
              </w:rPr>
              <w:t>连续步进运动频率大于</w:t>
            </w:r>
            <w:r>
              <w:rPr>
                <w:rFonts w:ascii="仿宋_GB2312" w:hAnsi="仿宋_GB2312" w:cs="仿宋_GB2312" w:eastAsia="仿宋_GB2312"/>
                <w:sz w:val="21"/>
              </w:rPr>
              <w:t>30Hz</w:t>
            </w:r>
          </w:p>
          <w:p>
            <w:pPr>
              <w:pStyle w:val="null3"/>
              <w:jc w:val="both"/>
            </w:pPr>
            <w:r>
              <w:rPr>
                <w:rFonts w:ascii="仿宋_GB2312" w:hAnsi="仿宋_GB2312" w:cs="仿宋_GB2312" w:eastAsia="仿宋_GB2312"/>
                <w:sz w:val="21"/>
              </w:rPr>
              <w:t>18.</w:t>
            </w:r>
            <w:r>
              <w:rPr>
                <w:rFonts w:ascii="仿宋_GB2312" w:hAnsi="仿宋_GB2312" w:cs="仿宋_GB2312" w:eastAsia="仿宋_GB2312"/>
                <w:sz w:val="21"/>
              </w:rPr>
              <w:t>XYZ</w:t>
            </w:r>
            <w:r>
              <w:rPr>
                <w:rFonts w:ascii="仿宋_GB2312" w:hAnsi="仿宋_GB2312" w:cs="仿宋_GB2312" w:eastAsia="仿宋_GB2312"/>
                <w:sz w:val="21"/>
              </w:rPr>
              <w:t>叠加安装</w:t>
            </w:r>
          </w:p>
          <w:p>
            <w:pPr>
              <w:pStyle w:val="null3"/>
              <w:jc w:val="both"/>
            </w:pPr>
            <w:r>
              <w:rPr>
                <w:rFonts w:ascii="仿宋_GB2312" w:hAnsi="仿宋_GB2312" w:cs="仿宋_GB2312" w:eastAsia="仿宋_GB2312"/>
                <w:sz w:val="21"/>
                <w:b/>
              </w:rPr>
              <w:t>高精密</w:t>
            </w:r>
            <w:r>
              <w:rPr>
                <w:rFonts w:ascii="仿宋_GB2312" w:hAnsi="仿宋_GB2312" w:cs="仿宋_GB2312" w:eastAsia="仿宋_GB2312"/>
                <w:sz w:val="21"/>
                <w:b/>
              </w:rPr>
              <w:t>XY</w:t>
            </w:r>
            <w:r>
              <w:rPr>
                <w:rFonts w:ascii="仿宋_GB2312" w:hAnsi="仿宋_GB2312" w:cs="仿宋_GB2312" w:eastAsia="仿宋_GB2312"/>
                <w:sz w:val="21"/>
                <w:b/>
              </w:rPr>
              <w:t>步进平台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行程（</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100mm*100mm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导程（</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2mm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定位精度（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±10um</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双向重复定位精度（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±1um(</w:t>
            </w:r>
            <w:r>
              <w:rPr>
                <w:rFonts w:ascii="仿宋_GB2312" w:hAnsi="仿宋_GB2312" w:cs="仿宋_GB2312" w:eastAsia="仿宋_GB2312"/>
                <w:sz w:val="21"/>
              </w:rPr>
              <w:t>开环）</w:t>
            </w:r>
            <w:r>
              <w:rPr>
                <w:rFonts w:ascii="仿宋_GB2312" w:hAnsi="仿宋_GB2312" w:cs="仿宋_GB2312" w:eastAsia="仿宋_GB2312"/>
                <w:sz w:val="21"/>
              </w:rPr>
              <w:t>/±0.5um(</w:t>
            </w:r>
            <w:r>
              <w:rPr>
                <w:rFonts w:ascii="仿宋_GB2312" w:hAnsi="仿宋_GB2312" w:cs="仿宋_GB2312" w:eastAsia="仿宋_GB2312"/>
                <w:sz w:val="21"/>
              </w:rPr>
              <w:t>闭环）</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最大速度（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50mm/s</w:t>
            </w:r>
            <w:r>
              <w:rPr>
                <w:rFonts w:ascii="仿宋_GB2312" w:hAnsi="仿宋_GB2312" w:cs="仿宋_GB2312" w:eastAsia="仿宋_GB2312"/>
                <w:sz w:val="21"/>
              </w:rPr>
              <w:t>（带载</w:t>
            </w:r>
            <w:r>
              <w:rPr>
                <w:rFonts w:ascii="仿宋_GB2312" w:hAnsi="仿宋_GB2312" w:cs="仿宋_GB2312" w:eastAsia="仿宋_GB2312"/>
                <w:sz w:val="21"/>
              </w:rPr>
              <w:t>6Kg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高精密六轴位移台</w:t>
            </w:r>
            <w:r>
              <w:br/>
            </w:r>
            <w:r>
              <w:rPr>
                <w:rFonts w:ascii="仿宋_GB2312" w:hAnsi="仿宋_GB2312" w:cs="仿宋_GB2312" w:eastAsia="仿宋_GB2312"/>
                <w:sz w:val="21"/>
              </w:rPr>
              <w:t>1.</w:t>
            </w:r>
            <w:r>
              <w:rPr>
                <w:rFonts w:ascii="仿宋_GB2312" w:hAnsi="仿宋_GB2312" w:cs="仿宋_GB2312" w:eastAsia="仿宋_GB2312"/>
                <w:sz w:val="21"/>
              </w:rPr>
              <w:t>行程（</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≥±17mm*±16mm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单向重复性（</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≤±0.15um</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最小位移（</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0.2um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反向间隙（</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≤±0.15um</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最大速度（</w:t>
            </w:r>
            <w:r>
              <w:rPr>
                <w:rFonts w:ascii="仿宋_GB2312" w:hAnsi="仿宋_GB2312" w:cs="仿宋_GB2312" w:eastAsia="仿宋_GB2312"/>
                <w:sz w:val="21"/>
              </w:rPr>
              <w:t>XY</w:t>
            </w:r>
            <w:r>
              <w:rPr>
                <w:rFonts w:ascii="仿宋_GB2312" w:hAnsi="仿宋_GB2312" w:cs="仿宋_GB2312" w:eastAsia="仿宋_GB2312"/>
                <w:sz w:val="21"/>
              </w:rPr>
              <w:t>）：</w:t>
            </w:r>
            <w:r>
              <w:rPr>
                <w:rFonts w:ascii="仿宋_GB2312" w:hAnsi="仿宋_GB2312" w:cs="仿宋_GB2312" w:eastAsia="仿宋_GB2312"/>
                <w:sz w:val="21"/>
              </w:rPr>
              <w:t>≥20mm/s</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行程（</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≥±6.5mm</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单向重复性（</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≤±0.06um</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最小位移（</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0.08um</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反向间隙（</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≤±0.06nm</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最大速度（</w:t>
            </w:r>
            <w:r>
              <w:rPr>
                <w:rFonts w:ascii="仿宋_GB2312" w:hAnsi="仿宋_GB2312" w:cs="仿宋_GB2312" w:eastAsia="仿宋_GB2312"/>
                <w:sz w:val="21"/>
              </w:rPr>
              <w:t>Z</w:t>
            </w:r>
            <w:r>
              <w:rPr>
                <w:rFonts w:ascii="仿宋_GB2312" w:hAnsi="仿宋_GB2312" w:cs="仿宋_GB2312" w:eastAsia="仿宋_GB2312"/>
                <w:sz w:val="21"/>
              </w:rPr>
              <w:t>）：</w:t>
            </w:r>
            <w:r>
              <w:rPr>
                <w:rFonts w:ascii="仿宋_GB2312" w:hAnsi="仿宋_GB2312" w:cs="仿宋_GB2312" w:eastAsia="仿宋_GB2312"/>
                <w:sz w:val="21"/>
              </w:rPr>
              <w:t>≥20mm/s</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行程（</w:t>
            </w:r>
            <w:r>
              <w:rPr>
                <w:rFonts w:ascii="仿宋_GB2312" w:hAnsi="仿宋_GB2312" w:cs="仿宋_GB2312" w:eastAsia="仿宋_GB2312"/>
                <w:sz w:val="21"/>
              </w:rPr>
              <w:t>θXθYθZ</w:t>
            </w:r>
            <w:r>
              <w:rPr>
                <w:rFonts w:ascii="仿宋_GB2312" w:hAnsi="仿宋_GB2312" w:cs="仿宋_GB2312" w:eastAsia="仿宋_GB2312"/>
                <w:sz w:val="21"/>
              </w:rPr>
              <w:t>）：</w:t>
            </w:r>
            <w:r>
              <w:rPr>
                <w:rFonts w:ascii="仿宋_GB2312" w:hAnsi="仿宋_GB2312" w:cs="仿宋_GB2312" w:eastAsia="仿宋_GB2312"/>
                <w:sz w:val="21"/>
              </w:rPr>
              <w:t>≥±10°*±10°*±21°</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单向重复性（</w:t>
            </w:r>
            <w:r>
              <w:rPr>
                <w:rFonts w:ascii="仿宋_GB2312" w:hAnsi="仿宋_GB2312" w:cs="仿宋_GB2312" w:eastAsia="仿宋_GB2312"/>
                <w:sz w:val="21"/>
              </w:rPr>
              <w:t>θXθYθZ</w:t>
            </w:r>
            <w:r>
              <w:rPr>
                <w:rFonts w:ascii="仿宋_GB2312" w:hAnsi="仿宋_GB2312" w:cs="仿宋_GB2312" w:eastAsia="仿宋_GB2312"/>
                <w:sz w:val="21"/>
              </w:rPr>
              <w:t>）：</w:t>
            </w:r>
            <w:r>
              <w:rPr>
                <w:rFonts w:ascii="仿宋_GB2312" w:hAnsi="仿宋_GB2312" w:cs="仿宋_GB2312" w:eastAsia="仿宋_GB2312"/>
                <w:sz w:val="21"/>
              </w:rPr>
              <w:t>≤±2urad * ±2urad * ±3urad</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最小位移（</w:t>
            </w:r>
            <w:r>
              <w:rPr>
                <w:rFonts w:ascii="仿宋_GB2312" w:hAnsi="仿宋_GB2312" w:cs="仿宋_GB2312" w:eastAsia="仿宋_GB2312"/>
                <w:sz w:val="21"/>
              </w:rPr>
              <w:t>θXθYθZ</w:t>
            </w:r>
            <w:r>
              <w:rPr>
                <w:rFonts w:ascii="仿宋_GB2312" w:hAnsi="仿宋_GB2312" w:cs="仿宋_GB2312" w:eastAsia="仿宋_GB2312"/>
                <w:sz w:val="21"/>
              </w:rPr>
              <w:t>）：</w:t>
            </w:r>
            <w:r>
              <w:rPr>
                <w:rFonts w:ascii="仿宋_GB2312" w:hAnsi="仿宋_GB2312" w:cs="仿宋_GB2312" w:eastAsia="仿宋_GB2312"/>
                <w:sz w:val="21"/>
              </w:rPr>
              <w:t>2.5urad *2.5urad *5urad</w:t>
            </w:r>
          </w:p>
          <w:p>
            <w:pPr>
              <w:pStyle w:val="null3"/>
              <w:jc w:val="both"/>
            </w:pPr>
            <w:r>
              <w:rPr>
                <w:rFonts w:ascii="仿宋_GB2312" w:hAnsi="仿宋_GB2312" w:cs="仿宋_GB2312" w:eastAsia="仿宋_GB2312"/>
                <w:sz w:val="21"/>
              </w:rPr>
              <w:t>14.</w:t>
            </w:r>
            <w:r>
              <w:rPr>
                <w:rFonts w:ascii="仿宋_GB2312" w:hAnsi="仿宋_GB2312" w:cs="仿宋_GB2312" w:eastAsia="仿宋_GB2312"/>
                <w:sz w:val="21"/>
              </w:rPr>
              <w:t>反向间隙（</w:t>
            </w:r>
            <w:r>
              <w:rPr>
                <w:rFonts w:ascii="仿宋_GB2312" w:hAnsi="仿宋_GB2312" w:cs="仿宋_GB2312" w:eastAsia="仿宋_GB2312"/>
                <w:sz w:val="21"/>
              </w:rPr>
              <w:t>θXθYθZ</w:t>
            </w:r>
            <w:r>
              <w:rPr>
                <w:rFonts w:ascii="仿宋_GB2312" w:hAnsi="仿宋_GB2312" w:cs="仿宋_GB2312" w:eastAsia="仿宋_GB2312"/>
                <w:sz w:val="21"/>
              </w:rPr>
              <w:t>）：</w:t>
            </w:r>
            <w:r>
              <w:rPr>
                <w:rFonts w:ascii="仿宋_GB2312" w:hAnsi="仿宋_GB2312" w:cs="仿宋_GB2312" w:eastAsia="仿宋_GB2312"/>
                <w:sz w:val="21"/>
              </w:rPr>
              <w:t>≤0.2um *0.2um *0.06um</w:t>
            </w:r>
          </w:p>
          <w:p>
            <w:pPr>
              <w:pStyle w:val="null3"/>
              <w:jc w:val="both"/>
            </w:pPr>
            <w:r>
              <w:rPr>
                <w:rFonts w:ascii="仿宋_GB2312" w:hAnsi="仿宋_GB2312" w:cs="仿宋_GB2312" w:eastAsia="仿宋_GB2312"/>
                <w:sz w:val="21"/>
              </w:rPr>
              <w:t>15.</w:t>
            </w:r>
            <w:r>
              <w:rPr>
                <w:rFonts w:ascii="仿宋_GB2312" w:hAnsi="仿宋_GB2312" w:cs="仿宋_GB2312" w:eastAsia="仿宋_GB2312"/>
                <w:sz w:val="21"/>
              </w:rPr>
              <w:t>最大角速度（</w:t>
            </w:r>
            <w:r>
              <w:rPr>
                <w:rFonts w:ascii="仿宋_GB2312" w:hAnsi="仿宋_GB2312" w:cs="仿宋_GB2312" w:eastAsia="仿宋_GB2312"/>
                <w:sz w:val="21"/>
              </w:rPr>
              <w:t>θXθYθZ</w:t>
            </w:r>
            <w:r>
              <w:rPr>
                <w:rFonts w:ascii="仿宋_GB2312" w:hAnsi="仿宋_GB2312" w:cs="仿宋_GB2312" w:eastAsia="仿宋_GB2312"/>
                <w:sz w:val="21"/>
              </w:rPr>
              <w:t>）：</w:t>
            </w:r>
            <w:r>
              <w:rPr>
                <w:rFonts w:ascii="仿宋_GB2312" w:hAnsi="仿宋_GB2312" w:cs="仿宋_GB2312" w:eastAsia="仿宋_GB2312"/>
                <w:sz w:val="21"/>
              </w:rPr>
              <w:t>≥500/250mrad/s</w:t>
            </w:r>
            <w:r>
              <w:br/>
            </w:r>
            <w:r>
              <w:rPr>
                <w:rFonts w:ascii="仿宋_GB2312" w:hAnsi="仿宋_GB2312" w:cs="仿宋_GB2312" w:eastAsia="仿宋_GB2312"/>
                <w:sz w:val="21"/>
              </w:rPr>
              <w:t>16.</w:t>
            </w:r>
            <w:r>
              <w:rPr>
                <w:rFonts w:ascii="仿宋_GB2312" w:hAnsi="仿宋_GB2312" w:cs="仿宋_GB2312" w:eastAsia="仿宋_GB2312"/>
                <w:sz w:val="21"/>
              </w:rPr>
              <w:t>底板最大负载：</w:t>
            </w:r>
            <w:r>
              <w:rPr>
                <w:rFonts w:ascii="仿宋_GB2312" w:hAnsi="仿宋_GB2312" w:cs="仿宋_GB2312" w:eastAsia="仿宋_GB2312"/>
                <w:sz w:val="21"/>
              </w:rPr>
              <w:t>2.5kg(</w:t>
            </w:r>
            <w:r>
              <w:rPr>
                <w:rFonts w:ascii="仿宋_GB2312" w:hAnsi="仿宋_GB2312" w:cs="仿宋_GB2312" w:eastAsia="仿宋_GB2312"/>
                <w:sz w:val="21"/>
              </w:rPr>
              <w:t>任意方向）</w:t>
            </w:r>
            <w:r>
              <w:rPr>
                <w:rFonts w:ascii="仿宋_GB2312" w:hAnsi="仿宋_GB2312" w:cs="仿宋_GB2312" w:eastAsia="仿宋_GB2312"/>
                <w:sz w:val="21"/>
              </w:rPr>
              <w:t>/5Kg(</w:t>
            </w:r>
            <w:r>
              <w:rPr>
                <w:rFonts w:ascii="仿宋_GB2312" w:hAnsi="仿宋_GB2312" w:cs="仿宋_GB2312" w:eastAsia="仿宋_GB2312"/>
                <w:sz w:val="21"/>
              </w:rPr>
              <w:t>水平方向）</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接采购人书面通知后90个日历日完成供货、安装、调试，达到交付使用条件。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接采购人书面通知后30个日历日完成供货、安装、调试，达到交付使用条件。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以采购人指定位置为准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合同签订后5个工作日内，甲方向乙方预付合同总价的40%。（以此为准）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设备安装调试完成，经甲方最终验收合格并签署《验收合格报告》后，乙方开具全额合法有效的增值税专用发票，甲方在7个工作日内向乙方支付合同总价的30%。（以此为准）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按照合同规定期限内供货、调试完成，经甲方最终验收合格并签署《验收合格报告》后7个工作日内，向乙方支付全部合同款项。乙方应在甲方付款前，向甲方开具全额合法有效的增值税专用发票。（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根据投标文件编制验收文件，完全满足招标技术要求。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根据投标文件编制验收文件，完全满足招标技术要求。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1.质保期：所提供产品质保期1年。质保期内乙方每年提供1次保养服务。 2.产品保修期（三包期）：自验收合格之日起1年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（3）质量保证 龙门系统以及桌面铣床整机免费保修1年，其他按照国家新三包规定办理。 （4）售后服务： ①质保期为到货验收合格后12个月； ②到货后安排现场调试与培训，为期2～3天； ③提供产品使用说明书和安装注意事项以及维保指导； ④质保期内非人为因素损坏提供无偿质保，质保期外设备完整生命周期内提供有偿质保； ⑤配备专职售后服务人员进行技术指导； ⑥备品备件：免费提供线缆、驱动器以及电机、光栅等核心部件各一套作为备件； ⑦维修响应时间：在2小时内电话相应，48小时内解决故障。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1.质保期：所提供产品质保期1年。质保期内乙方每年提供1次保养服务。 2.产品保修期（三包期）：自验收合格之日起1年 3.产品保修期（三包期）内，修理、更换、退货要求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4.采购标的的安装调试及配套工程、质量保证、售后服务等要求。 （1）安装调试要求 安装标准：执行GB50231-2009《机械设备安装工程施工及验收通用规范》； 调试周期：连续72小时无故障运行测试； 人员培训：提供相关操作人员培训资料。 （2）配套工程 基础施工：包含安装设备所需高空作业车及各种工具（需提前2日做好准备）。 （3）质量保证 整机免费保修1年(包含位移台、电机、电控等所有部件)； （4）售后服务 产品提供1年免费质保，终身免费技术支持； 接到维修电话，4小时响应，最快24小时内到达现场；重大故障须在12小时内抵达并启动应急处置。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10%的违约金，如该违约金不足以弥补采购人损失的，中标供应商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本合同约定时间交付设备、完成安装调试、完成验收的，每逾期一日，应向采购人支付合同总金额1%的违约金；延迟超过15日的，采购人有权单方解除合同，要求退货，中标供应商除返还采购人已支付款项外，还应向采购人支付合同总金额10%的违约金，如该违约金不足以弥补采购人损失的，中标供应商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本项目允许投标人同时参与两个标段（包）的投标，但同一投标人最多只能在一个标段（包）中标。即投标人可兼投，但最终只能中标一个标段（包）。若投标人在先评审的标段（包）中被推荐为第一中标候选人，则在后续标段（包）评审中，该投标人将不再被推荐为第一中标候选人，但仍可参与后续标段（包）的评审。 2、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汇编材料要求首封面开始算第1页，后面只要有字的都算一页，连续编辑页码，尾封面有字算页码，无字不算页码，并在书脊处清楚写明项目名称）。文件送达地点：西安市未央区太华北路甲字88号大明宫中央广场A座22层代理部； 3、投标保证金注意事项：（1）投标保证金须从投标人户名支付，如从个人户名或非投标人户名支付，将被拒绝，视为自动放弃投标权利（该个人是投标人的情形除外）；以保函形式缴纳投标保证金的，投标人应在投标截止时间前将保函扫描成清晰的PDF文件，发送至邮箱1932571762@qq.com（邮件命名：采购包名称、包号），并将保函原件单独递交至代理机构；投标人应在投标文件中附保函复印件。保函必须由具有开具投标保函资格的单位开具；若供应商违约，开具保函单位承担连带责任。（2）投标保证金的提交金额、时间不满足招标文件要求的，投标无效。（建议：投标人以转账形式缴纳时备注采购包名称，否则，因款项用途不明导致无法辨别造成不利后果） 4、根据《国务院办公厅关于在政府采购中实施本国产品标准及相关政策的通知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5、根据《关于推动解决政府采购异常低价问题的通知》（财库〔2026〕2号）政府采购评审中出现下列情形之一的，评审委员会应当启动异常低价投标（响应）审查程序：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①项至第④项情形的，应当要求相关供应商在评审现场合理的时间（30分钟）内对投标（响应）价格作出解释，提供项目具体成本测算等与报价合理性相关的书面说明及必要的证明材料，包括但不限于原材料成本、人工成本、制造费用等，给予相关供应商的合理时间为30分钟。其中，属于第③项情形，供应商已随投标（响应）文件一并提交相关书面说明及必要的证明材料的，在评审现场可不再重复提交。（注：投标人提交的相关说明和证明材料，应当加盖投标人（法定名称）电子印章，在评标委员会要求的时间内进行提交，否则提交的相关证明材料无效。投标人不能证明其投标报价合理性的或未在规定时间提交上述材料的或者提供的材料不齐全的或者提供的材料不被专家认可的，评标委员会均应当将其投标文件作为无效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资格证明资料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资格证明资料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复印件或扫描件加盖供应商单位公章）。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资格证明资料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提供直接控股和管理关系承诺函。若与其他供应商存在单位负责人为同一人或者存在直接控股、管理关系的，则投标无效。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资格证明资料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资格证明资料 偏离表 开标一览表 响应分项报价表 投标函 标的清单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招标文件“技术参数与性能指标”中标“★”项技术指标为实质性响应条款，投标文件技术响应须符合“★”项要求，无负偏离。</w:t>
            </w:r>
          </w:p>
        </w:tc>
        <w:tc>
          <w:tcPr>
            <w:tcW w:type="dxa" w:w="1661"/>
          </w:tcPr>
          <w:p>
            <w:pPr>
              <w:pStyle w:val="null3"/>
            </w:pPr>
            <w:r>
              <w:rPr>
                <w:rFonts w:ascii="仿宋_GB2312" w:hAnsi="仿宋_GB2312" w:cs="仿宋_GB2312" w:eastAsia="仿宋_GB2312"/>
              </w:rPr>
              <w:t>偏离表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资格证明资料 偏离表 开标一览表 响应分项报价表 投标函 标的清单 陕西省政府采购供应商拒绝政府采购领域商业贿赂承诺书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招标文件“技术参数与性能指标”中标“★”项技术指标为实质性响应条款，投标文件技术响应须符合“★”项要求，无负偏离。</w:t>
            </w:r>
          </w:p>
        </w:tc>
        <w:tc>
          <w:tcPr>
            <w:tcW w:type="dxa" w:w="1661"/>
          </w:tcPr>
          <w:p>
            <w:pPr>
              <w:pStyle w:val="null3"/>
            </w:pPr>
            <w:r>
              <w:rPr>
                <w:rFonts w:ascii="仿宋_GB2312" w:hAnsi="仿宋_GB2312" w:cs="仿宋_GB2312" w:eastAsia="仿宋_GB2312"/>
              </w:rPr>
              <w:t>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（1）▲项（共4项）满分6分，该项负偏离扣1.5分，扣完为止。（2）未标项（共30项）满分30分，每项负偏离扣1分，扣完为止。 注：标注“▲”的参数须提供相关技术指标证明材料予以佐证，提供的佐证材料：国家认可的第三方检测机构出具的检测报告，产品彩页，技术白皮书，官网截图等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投标人需针对本项目提供完整的项目实施方案。内容包含：①供货组织、进度安排及备品备件方案②对接及运输方案③安装调试方案④人员、物力调配安排⑤应急预案。 二、评审标准 1、完整性：方案必须全面，对评审内容中的各项要求有详细描述； 2、可实施性：切合本项目实际情况，提出步骤清晰、合理的方案； 3、针对性：方案能够紧扣项目实际情况，内容科学合理。 三、赋分依据 ①供货组织、进度安排及备品备件方案：每完全满足一个评审标准得1分，满分3分； ②对接及运输方案:每完全满足一个评审标准得1分，满分3分； ③安装调试方案:每完全满足一个评审标准得1分，满分3分； ④人员、物力调配安排：每完全满足一个评审标准得0.5分，满分1.5分。 ⑤应急预案：每完全满足一个评审标准得0.5分，满分1.5分。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 使用寿命及效果②质量管理体系及保证措施。 二、评审标准 1、完整性：方案须全面，对评审内容中的各项要求有详细描述； 2、可实施性：切合本项目实际情况，实施步骤清晰、合理； 3、针对性：方案能够紧扣项目实际情况，内容科学合理。 三、赋分依据 ①产品性能、使用寿命及效果：每完全满足一个评审标准得1 分，满分3分； ②质量管理体系及保证措施:每完全满足一个评审标准得 1分，满分 3分。 内容有缺陷扣1分，缺项或未提供得0分。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根据投标人的培训服务方案，包括但不限于①培训方案、培训时间②培训内容、培训次数 二、评审标准： 1、完整性：方案须全面，对评审内容中的各项要求有详细描述； 2、可实施性：切合本项目实际情况，实施步骤清晰、合理； 3、针对性：方案能够紧扣项目实际情况，内容科学合理。 三、赋分依据 ①培训方案、培训时间：每完全满足一项评审标准得0.5分，满分1.5分； ②培训内容、培训次数：每完全满足一项评审标准得0.5分，满分1.5分； 内容有缺陷扣0.5分，缺项或未提供得0分。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投标人提供所投产品合法来源渠道证明文件或情况说明，得 2分，不提供不得分。 投标人可根据自身情况提供以下资料中的任意一种： 1、如投标人为所投产品代理商：提供货物的合法来源渠道证明文 件（例如：产品制造商授权、销售协议、代理协议等证明文件）。 2、如投标人为所投产品的制造商：需提供情况说明（说明产品为 制造商自己生产）或其他证明资料。 备注：以加盖投标人公章的证明材料复印件为计分依据。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投标人所投产品为“环境标志产品政府采购品目清单”内的，应提供该产品由国家确定的认证机构出具的中国环境标志产品认证证书且处于有效期内的，每提供一个得 0.5分，满分1 分，不提供不得分。备注：以加盖投标人公章的证明材料为计分依据。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投标人提供自2023年1月1日至今承担过类似项目业绩，以合同签订时间为准并加盖投标人公章，每提供一个业绩计1分，最高计3分。备注：以加盖投标人公章的业绩复印件或扫描件为计分依据。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根据技术参数与性能指标响应情况打分，完全满足采购技术要求的，得满分。其中： （1）▲项（共5项）满分15分，该项负偏离扣3分，扣完为止。（2）未标项（共30项）满分15分，每项负偏离扣0.5分，扣完为止。 注：标注“▲”的参数须提供相关技术指标证明材料予以佐证，提供的佐证材料：国家认可的第三方检测机构出具的检测报告，产品彩页，技术白皮书，官网截图等任意一种。不提供或缺漏项或不能证明的不得分。 注：投标人自行承担因材料提供不全导致的技术参数评审风险。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投标人需针对本项目提供完整的项目实施方案。内容包含：①供货组织、进度安排及备品备件方案②对接及运输方案③安装调试方案④人员、物力调配安排⑤应急预案。 二、评审标准 1、完整性：方案必须全面，对评审内容中的各项要求有详细描述； 2、可实施性：切合本项目实际情况，提出步骤清晰、合理的方案； 3、针对性：方案能够紧扣项目实际情况，内容科学合理。 三、赋分依据 ①供货组织、进度安排及备品备件方案：每完全满足一个评审标准得1分，满分3分； ②对接及运输方案:每完全满足一个评审标准得1分，满分3分； ③安装调试方案:每完全满足一个评审标准得1分，满分3分； ④人员、物力调配安排：每完全满足一个评审标准得0.5分，满分1.5分。 ⑤应急预案：每完全满足一个评审标准得0.5分，满分1.5分。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 使用寿命及效果②质量管理体系及保证措施。 二、评审标准 1、完整性：方案须全面，对评审内容中的各项要求有详细描述； 2、可实施性：切合本项目实际情况，实施步骤清晰、合理； 3、针对性：方案能够紧扣项目实际情况，内容科学合理。 三、赋分依据 ①产品性能、使用寿命及效果：每完全满足一个评审标准得1 分，满分3分； ②质量管理体系及保证措施:每完全满足一个评审标准得 1分，满分 3分。 内容有缺陷扣1分，缺项或未提供得0分。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根据投标人的培训服务方案，包括但不限于①培训方案、培训时间②培训内容、培训次数 二、评审标准： 1、完整性：方案须全面，对评审内容中的各项要求有详细描述； 2、可实施性：切合本项目实际情况，实施步骤清晰、合理； 3、针对性：方案能够紧扣项目实际情况，内容科学合理。 三、赋分依据 ①培训方案、培训时间：每完全满足一项评审标准得0.5分，满分1.5分； ②培训内容、培训次数：每完全满足一项评审标准得0.5分，满分1.5分； 内容有缺陷扣0.5分，缺项或未提供得0分。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承诺质保期在满足招标文件（1年）要求的基础上，每增加一年得1分，满2分。无承诺不得分。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投标人提供所投产品合法来源渠道证明文件或情况说明，得 3分，不提供不得分。 投标人可根据自身情况提供以下资料中的任意一种： 1、如投标人为所投产品代理商：提供货物的合法来源渠道证明文 件（例如：产品制造商授权、销售协议、代理协议等证明文件）。 2、如投标人为所投产品的制造商：需提供情况说明（说明产品为 制造商自己生产）或其他证明资料。 备注：以加盖投标人公章的证明材料复印件为计分依据。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投标人所投产品为“环境标志产品政府采购品目清单”内的，应提供该产品由国家确定的认证机构出具的中国环境标志产品认证证书且处于有效期内的，每提供一个得 1分，满分2分，不提供不得分。备注：以加盖投标人公章的证明材料为计分依据。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投标人提供自2023年1月1日至今承担过类似项目业绩，以合同签订时间为准并加盖投标人公章，每提供一个业绩计2分，最高计6分。备注：以加盖投标人公章的业绩复印件或扫描件为计分依据。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