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8A6EFC">
      <w:pPr>
        <w:pStyle w:val="4"/>
        <w:numPr>
          <w:ilvl w:val="0"/>
          <w:numId w:val="0"/>
        </w:numPr>
        <w:jc w:val="center"/>
        <w:outlineLvl w:val="1"/>
        <w:rPr>
          <w:rFonts w:hint="eastAsia" w:ascii="宋体" w:hAnsi="宋体" w:eastAsia="宋体" w:cs="宋体"/>
          <w:b/>
          <w:bCs/>
          <w:color w:val="000000" w:themeColor="text1"/>
          <w:sz w:val="28"/>
          <w:szCs w:val="28"/>
          <w:lang w:val="en-US"/>
          <w14:textFill>
            <w14:solidFill>
              <w14:schemeClr w14:val="tx1"/>
            </w14:solidFill>
          </w14:textFill>
        </w:rPr>
      </w:pPr>
      <w:r>
        <w:rPr>
          <w:rFonts w:hint="eastAsia" w:ascii="宋体" w:hAnsi="宋体" w:eastAsia="宋体" w:cs="宋体"/>
          <w:b/>
          <w:bCs/>
          <w:color w:val="000000" w:themeColor="text1"/>
          <w:sz w:val="28"/>
          <w:szCs w:val="28"/>
          <w:lang w:eastAsia="zh-CN"/>
          <w14:textFill>
            <w14:solidFill>
              <w14:schemeClr w14:val="tx1"/>
            </w14:solidFill>
          </w14:textFill>
        </w:rPr>
        <w:t>高速公路联网收费系统业务支撑平台运维项目</w:t>
      </w:r>
      <w:r>
        <w:rPr>
          <w:rFonts w:hint="eastAsia" w:ascii="宋体" w:hAnsi="宋体" w:eastAsia="宋体" w:cs="宋体"/>
          <w:b/>
          <w:bCs/>
          <w:color w:val="000000" w:themeColor="text1"/>
          <w:sz w:val="28"/>
          <w:szCs w:val="28"/>
          <w:lang w:val="en-US" w:eastAsia="zh-CN"/>
          <w14:textFill>
            <w14:solidFill>
              <w14:schemeClr w14:val="tx1"/>
            </w14:solidFill>
          </w14:textFill>
        </w:rPr>
        <w:t>服务合同</w:t>
      </w:r>
    </w:p>
    <w:p w14:paraId="4E065915">
      <w:pPr>
        <w:spacing w:line="360" w:lineRule="auto"/>
        <w:ind w:firstLine="480" w:firstLineChars="200"/>
        <w:jc w:val="center"/>
        <w:rPr>
          <w:rFonts w:hint="eastAsia" w:ascii="宋体" w:hAnsi="宋体" w:eastAsia="宋体" w:cs="宋体"/>
          <w:color w:val="000000" w:themeColor="text1"/>
          <w:kern w:val="0"/>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（此合同样本仅供参考，合同具体细则以双方协定为准）</w:t>
      </w:r>
    </w:p>
    <w:p w14:paraId="1D20B509">
      <w:pPr>
        <w:spacing w:line="480" w:lineRule="auto"/>
        <w:jc w:val="both"/>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甲方：</w:t>
      </w:r>
      <w:r>
        <w:rPr>
          <w:rFonts w:hint="eastAsia" w:ascii="宋体" w:hAnsi="宋体" w:eastAsia="宋体" w:cs="宋体"/>
          <w:b/>
          <w:bCs/>
          <w:color w:val="000000" w:themeColor="text1"/>
          <w:sz w:val="24"/>
          <w:u w:val="single"/>
          <w:lang w:val="en-US" w:eastAsia="zh-CN"/>
          <w14:textFill>
            <w14:solidFill>
              <w14:schemeClr w14:val="tx1"/>
            </w14:solidFill>
          </w14:textFill>
        </w:rPr>
        <w:t>陕西省高速公路收费中心</w:t>
      </w:r>
    </w:p>
    <w:p w14:paraId="29AE307F">
      <w:pPr>
        <w:widowControl/>
        <w:autoSpaceDE w:val="0"/>
        <w:autoSpaceDN w:val="0"/>
        <w:adjustRightInd w:val="0"/>
        <w:snapToGrid w:val="0"/>
        <w:spacing w:line="360" w:lineRule="auto"/>
        <w:textAlignment w:val="baseline"/>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乙方：</w:t>
      </w:r>
    </w:p>
    <w:p w14:paraId="4F03FBEB">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sz w:val="20"/>
          <w:szCs w:val="20"/>
          <w:lang w:val="en-US" w:eastAsia="zh-Hans"/>
        </w:rPr>
        <w:t>根据《中华人民共和国民法典》、《中华人民共和国政府采购法》及</w:t>
      </w:r>
      <w:r>
        <w:rPr>
          <w:rFonts w:hint="eastAsia" w:ascii="宋体" w:hAnsi="宋体" w:eastAsia="宋体" w:cs="宋体"/>
          <w:sz w:val="20"/>
          <w:szCs w:val="20"/>
          <w:lang w:val="en-US" w:eastAsia="zh-CN"/>
        </w:rPr>
        <w:t>其</w:t>
      </w:r>
      <w:r>
        <w:rPr>
          <w:rFonts w:hint="eastAsia" w:ascii="宋体" w:hAnsi="宋体" w:eastAsia="宋体" w:cs="宋体"/>
          <w:sz w:val="20"/>
          <w:szCs w:val="20"/>
          <w:lang w:val="en-US" w:eastAsia="zh-Hans"/>
        </w:rPr>
        <w:t>实施条例</w:t>
      </w:r>
      <w:r>
        <w:rPr>
          <w:rFonts w:hint="eastAsia" w:ascii="宋体" w:hAnsi="宋体" w:eastAsia="宋体" w:cs="宋体"/>
          <w:sz w:val="20"/>
          <w:szCs w:val="20"/>
          <w:lang w:val="en-US" w:eastAsia="zh-CN"/>
        </w:rPr>
        <w:t>、</w:t>
      </w:r>
      <w:r>
        <w:rPr>
          <w:rFonts w:hint="eastAsia" w:ascii="宋体" w:hAnsi="宋体" w:cs="宋体"/>
          <w:sz w:val="20"/>
          <w:szCs w:val="20"/>
          <w:lang w:val="en-US" w:eastAsia="zh-CN"/>
        </w:rPr>
        <w:t>高速公路联网收费系统业务支撑平台运维项目</w:t>
      </w:r>
      <w:r>
        <w:rPr>
          <w:rFonts w:hint="eastAsia" w:ascii="宋体" w:hAnsi="宋体" w:eastAsia="宋体" w:cs="宋体"/>
          <w:sz w:val="20"/>
          <w:szCs w:val="20"/>
          <w:lang w:val="en-US" w:eastAsia="zh-Hans"/>
        </w:rPr>
        <w:t>（项目编号：</w:t>
      </w:r>
      <w:r>
        <w:rPr>
          <w:rFonts w:hint="eastAsia" w:ascii="宋体" w:hAnsi="宋体" w:cs="宋体"/>
          <w:sz w:val="20"/>
          <w:szCs w:val="20"/>
          <w:lang w:val="en-US" w:eastAsia="zh-CN"/>
        </w:rPr>
        <w:t>LZBE2026-275</w:t>
      </w:r>
      <w:r>
        <w:rPr>
          <w:rFonts w:hint="eastAsia" w:ascii="宋体" w:hAnsi="宋体" w:eastAsia="宋体" w:cs="宋体"/>
          <w:sz w:val="20"/>
          <w:szCs w:val="20"/>
          <w:lang w:val="en-US" w:eastAsia="zh-Hans"/>
        </w:rPr>
        <w:t>）的</w:t>
      </w:r>
      <w:r>
        <w:rPr>
          <w:rFonts w:hint="eastAsia" w:ascii="宋体" w:hAnsi="宋体" w:cs="宋体"/>
          <w:sz w:val="20"/>
          <w:szCs w:val="20"/>
          <w:lang w:val="en-US" w:eastAsia="zh-CN"/>
        </w:rPr>
        <w:t>磋商</w:t>
      </w:r>
      <w:r>
        <w:rPr>
          <w:rFonts w:hint="eastAsia" w:ascii="宋体" w:hAnsi="宋体" w:eastAsia="宋体" w:cs="宋体"/>
          <w:sz w:val="20"/>
          <w:szCs w:val="20"/>
          <w:lang w:val="en-US" w:eastAsia="zh-Hans"/>
        </w:rPr>
        <w:t>文件、</w:t>
      </w:r>
      <w:r>
        <w:rPr>
          <w:rFonts w:hint="eastAsia" w:ascii="宋体" w:hAnsi="宋体" w:cs="宋体"/>
          <w:sz w:val="20"/>
          <w:szCs w:val="20"/>
          <w:lang w:val="en-US" w:eastAsia="zh-CN"/>
        </w:rPr>
        <w:t>响应</w:t>
      </w:r>
      <w:r>
        <w:rPr>
          <w:rFonts w:hint="eastAsia" w:ascii="宋体" w:hAnsi="宋体" w:eastAsia="宋体" w:cs="宋体"/>
          <w:sz w:val="20"/>
          <w:szCs w:val="20"/>
          <w:lang w:val="en-US" w:eastAsia="zh-Hans"/>
        </w:rPr>
        <w:t>文件等有关规定，为确保甲方采购项目的顺利实施，甲、乙双方在平等自愿原则下签订本合同，并共同遵守如下条款：</w:t>
      </w:r>
    </w:p>
    <w:p w14:paraId="0ED85A35">
      <w:pPr>
        <w:widowControl/>
        <w:autoSpaceDE w:val="0"/>
        <w:autoSpaceDN w:val="0"/>
        <w:adjustRightInd w:val="0"/>
        <w:snapToGrid w:val="0"/>
        <w:spacing w:line="360" w:lineRule="auto"/>
        <w:ind w:firstLine="402" w:firstLineChars="200"/>
        <w:textAlignment w:val="baseline"/>
        <w:rPr>
          <w:rFonts w:hint="eastAsia" w:ascii="宋体" w:hAnsi="宋体" w:eastAsia="宋体" w:cs="宋体"/>
          <w:b/>
          <w:bCs/>
          <w:color w:val="000000" w:themeColor="text1"/>
          <w:sz w:val="20"/>
          <w:szCs w:val="20"/>
          <w:u w:val="single"/>
          <w:lang w:eastAsia="zh-CN"/>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一、服务内容：</w:t>
      </w:r>
    </w:p>
    <w:p w14:paraId="37D1E134">
      <w:pPr>
        <w:widowControl/>
        <w:autoSpaceDE w:val="0"/>
        <w:autoSpaceDN w:val="0"/>
        <w:adjustRightInd w:val="0"/>
        <w:snapToGrid w:val="0"/>
        <w:spacing w:line="360" w:lineRule="auto"/>
        <w:ind w:firstLine="402" w:firstLineChars="200"/>
        <w:textAlignment w:val="baseline"/>
        <w:rPr>
          <w:rFonts w:hint="eastAsia"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二、合同价款</w:t>
      </w:r>
    </w:p>
    <w:p w14:paraId="435A905D">
      <w:pPr>
        <w:widowControl/>
        <w:autoSpaceDE w:val="0"/>
        <w:autoSpaceDN w:val="0"/>
        <w:adjustRightInd w:val="0"/>
        <w:snapToGrid w:val="0"/>
        <w:spacing w:line="360" w:lineRule="auto"/>
        <w:ind w:firstLine="400" w:firstLineChars="200"/>
        <w:textAlignment w:val="baseline"/>
        <w:rPr>
          <w:rFonts w:hint="eastAsia" w:ascii="宋体" w:hAnsi="宋体" w:eastAsia="宋体" w:cs="宋体"/>
          <w:sz w:val="20"/>
          <w:szCs w:val="20"/>
          <w:lang w:val="en-US" w:eastAsia="zh-Hans"/>
        </w:rPr>
      </w:pPr>
      <w:r>
        <w:rPr>
          <w:rFonts w:hint="eastAsia" w:ascii="宋体" w:hAnsi="宋体" w:eastAsia="宋体" w:cs="宋体"/>
          <w:sz w:val="20"/>
          <w:szCs w:val="20"/>
          <w:lang w:val="en-US" w:eastAsia="zh-Hans"/>
        </w:rPr>
        <w:t>（一）合同总价款为人民币（大写）         (￥          ) 。</w:t>
      </w:r>
    </w:p>
    <w:p w14:paraId="3CF897A2">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sz w:val="20"/>
          <w:szCs w:val="20"/>
          <w:lang w:val="en-US" w:eastAsia="zh-Hans"/>
        </w:rPr>
        <w:t>（二）合同总价包括但不限于实施费用、其他费用以及国家按现行税率征收的一切税费。</w:t>
      </w:r>
    </w:p>
    <w:p w14:paraId="496900BE">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sz w:val="20"/>
          <w:szCs w:val="20"/>
          <w:lang w:val="en-US" w:eastAsia="zh-Hans"/>
        </w:rPr>
        <w:t>（三）合同总价一次性包死</w:t>
      </w:r>
      <w:r>
        <w:rPr>
          <w:rFonts w:hint="eastAsia" w:ascii="宋体" w:hAnsi="宋体" w:eastAsia="宋体" w:cs="宋体"/>
          <w:color w:val="000000" w:themeColor="text1"/>
          <w:sz w:val="20"/>
          <w:szCs w:val="20"/>
          <w14:textFill>
            <w14:solidFill>
              <w14:schemeClr w14:val="tx1"/>
            </w14:solidFill>
          </w14:textFill>
        </w:rPr>
        <w:t>。</w:t>
      </w:r>
    </w:p>
    <w:p w14:paraId="3547DC26">
      <w:pPr>
        <w:widowControl/>
        <w:autoSpaceDE w:val="0"/>
        <w:autoSpaceDN w:val="0"/>
        <w:adjustRightInd w:val="0"/>
        <w:snapToGrid w:val="0"/>
        <w:spacing w:line="360" w:lineRule="auto"/>
        <w:ind w:firstLine="402" w:firstLineChars="200"/>
        <w:textAlignment w:val="baseline"/>
        <w:rPr>
          <w:rFonts w:hint="eastAsia"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三、付款方式</w:t>
      </w:r>
    </w:p>
    <w:p w14:paraId="69CD61AB">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（一）</w:t>
      </w:r>
    </w:p>
    <w:p w14:paraId="67C1E7FB">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（二）支付方式：银行转账。</w:t>
      </w:r>
    </w:p>
    <w:p w14:paraId="2CE76CF5">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（三）结算方式： 乙方在接受付款前开具等额合法有效的发票给甲方。</w:t>
      </w:r>
    </w:p>
    <w:p w14:paraId="3CF869EA">
      <w:pPr>
        <w:widowControl/>
        <w:autoSpaceDE w:val="0"/>
        <w:autoSpaceDN w:val="0"/>
        <w:adjustRightInd w:val="0"/>
        <w:snapToGrid w:val="0"/>
        <w:spacing w:line="360" w:lineRule="auto"/>
        <w:ind w:firstLine="402" w:firstLineChars="200"/>
        <w:textAlignment w:val="baseline"/>
        <w:rPr>
          <w:rFonts w:hint="eastAsia"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lang w:val="en-US" w:eastAsia="zh-CN"/>
          <w14:textFill>
            <w14:solidFill>
              <w14:schemeClr w14:val="tx1"/>
            </w14:solidFill>
          </w14:textFill>
        </w:rPr>
        <w:t>四</w:t>
      </w:r>
      <w:r>
        <w:rPr>
          <w:rFonts w:hint="eastAsia" w:ascii="宋体" w:hAnsi="宋体" w:eastAsia="宋体" w:cs="宋体"/>
          <w:b/>
          <w:bCs/>
          <w:color w:val="000000" w:themeColor="text1"/>
          <w:sz w:val="20"/>
          <w:szCs w:val="20"/>
          <w14:textFill>
            <w14:solidFill>
              <w14:schemeClr w14:val="tx1"/>
            </w14:solidFill>
          </w14:textFill>
        </w:rPr>
        <w:t>、</w:t>
      </w:r>
      <w:r>
        <w:rPr>
          <w:rFonts w:hint="eastAsia" w:ascii="宋体" w:hAnsi="宋体" w:eastAsia="宋体" w:cs="宋体"/>
          <w:b/>
          <w:bCs/>
          <w:color w:val="000000" w:themeColor="text1"/>
          <w:sz w:val="20"/>
          <w:szCs w:val="20"/>
          <w:shd w:val="clear" w:color="auto" w:fill="FFFFFF"/>
          <w14:textFill>
            <w14:solidFill>
              <w14:schemeClr w14:val="tx1"/>
            </w14:solidFill>
          </w14:textFill>
        </w:rPr>
        <w:t>服务期：</w:t>
      </w:r>
    </w:p>
    <w:p w14:paraId="66C50B47">
      <w:pPr>
        <w:widowControl/>
        <w:autoSpaceDE w:val="0"/>
        <w:autoSpaceDN w:val="0"/>
        <w:adjustRightInd w:val="0"/>
        <w:snapToGrid w:val="0"/>
        <w:spacing w:line="360" w:lineRule="auto"/>
        <w:ind w:firstLine="402"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lang w:val="en-US" w:eastAsia="zh-CN"/>
          <w14:textFill>
            <w14:solidFill>
              <w14:schemeClr w14:val="tx1"/>
            </w14:solidFill>
          </w14:textFill>
        </w:rPr>
        <w:t>五、服务</w:t>
      </w:r>
      <w:r>
        <w:rPr>
          <w:rFonts w:hint="eastAsia" w:ascii="宋体" w:hAnsi="宋体" w:eastAsia="宋体" w:cs="宋体"/>
          <w:b/>
          <w:bCs/>
          <w:color w:val="000000" w:themeColor="text1"/>
          <w:sz w:val="20"/>
          <w:szCs w:val="20"/>
          <w14:textFill>
            <w14:solidFill>
              <w14:schemeClr w14:val="tx1"/>
            </w14:solidFill>
          </w14:textFill>
        </w:rPr>
        <w:t>地点：</w:t>
      </w:r>
      <w:r>
        <w:rPr>
          <w:rFonts w:hint="eastAsia" w:ascii="宋体" w:hAnsi="宋体" w:eastAsia="宋体" w:cs="宋体"/>
          <w:b w:val="0"/>
          <w:bCs w:val="0"/>
          <w:color w:val="000000" w:themeColor="text1"/>
          <w:sz w:val="20"/>
          <w:szCs w:val="20"/>
          <w:shd w:val="clear" w:color="auto" w:fill="FFFFFF"/>
          <w:lang w:val="en-US" w:eastAsia="zh-CN"/>
          <w14:textFill>
            <w14:solidFill>
              <w14:schemeClr w14:val="tx1"/>
            </w14:solidFill>
          </w14:textFill>
        </w:rPr>
        <w:t>陕西省高速公路收费中心</w:t>
      </w:r>
      <w:r>
        <w:rPr>
          <w:rFonts w:hint="eastAsia" w:ascii="宋体" w:hAnsi="宋体" w:eastAsia="宋体" w:cs="宋体"/>
          <w:b w:val="0"/>
          <w:bCs w:val="0"/>
          <w:color w:val="000000" w:themeColor="text1"/>
          <w:sz w:val="20"/>
          <w:szCs w:val="20"/>
          <w:lang w:val="en-US" w:eastAsia="zh-CN"/>
          <w14:textFill>
            <w14:solidFill>
              <w14:schemeClr w14:val="tx1"/>
            </w14:solidFill>
          </w14:textFill>
        </w:rPr>
        <w:t>。</w:t>
      </w:r>
    </w:p>
    <w:p w14:paraId="0D66CB8A">
      <w:pPr>
        <w:keepNext w:val="0"/>
        <w:keepLines w:val="0"/>
        <w:pageBreakBefore w:val="0"/>
        <w:widowControl w:val="0"/>
        <w:kinsoku/>
        <w:wordWrap/>
        <w:overflowPunct/>
        <w:topLinePunct w:val="0"/>
        <w:bidi w:val="0"/>
        <w:snapToGrid w:val="0"/>
        <w:spacing w:line="360" w:lineRule="auto"/>
        <w:ind w:firstLine="402" w:firstLineChars="200"/>
        <w:jc w:val="both"/>
        <w:textAlignment w:val="auto"/>
        <w:rPr>
          <w:rFonts w:hint="eastAsia" w:ascii="宋体" w:hAnsi="宋体" w:eastAsia="宋体" w:cs="宋体"/>
          <w:b/>
          <w:bCs/>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六、</w:t>
      </w:r>
      <w:r>
        <w:rPr>
          <w:rFonts w:hint="eastAsia" w:ascii="宋体" w:hAnsi="宋体" w:eastAsia="宋体" w:cs="宋体"/>
          <w:b/>
          <w:bCs/>
          <w:color w:val="000000" w:themeColor="text1"/>
          <w:kern w:val="2"/>
          <w:sz w:val="20"/>
          <w:szCs w:val="20"/>
          <w:shd w:val="clear" w:color="auto" w:fill="FFFFFF"/>
          <w:lang w:val="en-US" w:eastAsia="zh-CN" w:bidi="ar-SA"/>
          <w14:textFill>
            <w14:solidFill>
              <w14:schemeClr w14:val="tx1"/>
            </w14:solidFill>
          </w14:textFill>
        </w:rPr>
        <w:t>服务承诺：</w:t>
      </w:r>
    </w:p>
    <w:p w14:paraId="451D2B83">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乙方需派一名项目经理：姓名：</w:t>
      </w:r>
      <w:r>
        <w:rPr>
          <w:rFonts w:hint="eastAsia" w:ascii="宋体" w:hAnsi="宋体" w:eastAsia="宋体" w:cs="宋体"/>
          <w:color w:val="000000" w:themeColor="text1"/>
          <w:kern w:val="2"/>
          <w:sz w:val="20"/>
          <w:szCs w:val="20"/>
          <w:u w:val="single"/>
          <w:shd w:val="clear" w:color="auto" w:fill="FFFFFF"/>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0"/>
          <w:szCs w:val="20"/>
          <w:u w:val="none"/>
          <w:shd w:val="clear" w:color="auto" w:fill="FFFFFF"/>
          <w:lang w:val="en-US" w:eastAsia="zh-CN" w:bidi="ar-SA"/>
          <w14:textFill>
            <w14:solidFill>
              <w14:schemeClr w14:val="tx1"/>
            </w14:solidFill>
          </w14:textFill>
        </w:rPr>
        <w:t>性别：</w:t>
      </w:r>
      <w:r>
        <w:rPr>
          <w:rFonts w:hint="eastAsia" w:ascii="宋体" w:hAnsi="宋体" w:eastAsia="宋体" w:cs="宋体"/>
          <w:color w:val="000000" w:themeColor="text1"/>
          <w:kern w:val="2"/>
          <w:sz w:val="20"/>
          <w:szCs w:val="20"/>
          <w:u w:val="single"/>
          <w:shd w:val="clear" w:color="auto" w:fill="FFFFFF"/>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0"/>
          <w:szCs w:val="20"/>
          <w:u w:val="none"/>
          <w:shd w:val="clear" w:color="auto" w:fill="FFFFFF"/>
          <w:lang w:val="en-US" w:eastAsia="zh-CN" w:bidi="ar-SA"/>
          <w14:textFill>
            <w14:solidFill>
              <w14:schemeClr w14:val="tx1"/>
            </w14:solidFill>
          </w14:textFill>
        </w:rPr>
        <w:t>联系电话：</w:t>
      </w:r>
      <w:r>
        <w:rPr>
          <w:rFonts w:hint="eastAsia" w:ascii="宋体" w:hAnsi="宋体" w:eastAsia="宋体" w:cs="宋体"/>
          <w:color w:val="000000" w:themeColor="text1"/>
          <w:kern w:val="2"/>
          <w:sz w:val="20"/>
          <w:szCs w:val="20"/>
          <w:u w:val="single"/>
          <w:shd w:val="clear" w:color="auto" w:fill="FFFFFF"/>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，直接与甲方沟通，项目经理接收甲方提出的问题与要求，并及时向公司申请调动资源，解决在项目实施过程中遇到的问题。</w:t>
      </w:r>
    </w:p>
    <w:p w14:paraId="2E4B0011">
      <w:pPr>
        <w:keepNext w:val="0"/>
        <w:keepLines w:val="0"/>
        <w:pageBreakBefore w:val="0"/>
        <w:widowControl w:val="0"/>
        <w:kinsoku/>
        <w:wordWrap/>
        <w:overflowPunct/>
        <w:topLinePunct w:val="0"/>
        <w:bidi w:val="0"/>
        <w:snapToGrid w:val="0"/>
        <w:spacing w:line="360" w:lineRule="auto"/>
        <w:ind w:firstLine="402" w:firstLineChars="200"/>
        <w:jc w:val="both"/>
        <w:textAlignment w:val="auto"/>
        <w:rPr>
          <w:rFonts w:hint="eastAsia" w:ascii="宋体" w:hAnsi="宋体" w:eastAsia="宋体" w:cs="宋体"/>
          <w:b/>
          <w:bCs/>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shd w:val="clear" w:color="auto" w:fill="FFFFFF"/>
          <w:lang w:val="en-US" w:eastAsia="zh-CN" w:bidi="ar-SA"/>
          <w14:textFill>
            <w14:solidFill>
              <w14:schemeClr w14:val="tx1"/>
            </w14:solidFill>
          </w14:textFill>
        </w:rPr>
        <w:t>七、质量保证</w:t>
      </w:r>
    </w:p>
    <w:p w14:paraId="27C9CD57">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所有内容按照国家相关规范及标准，确保达到甲方要求。</w:t>
      </w:r>
    </w:p>
    <w:p w14:paraId="2F750BC7">
      <w:pPr>
        <w:keepNext w:val="0"/>
        <w:keepLines w:val="0"/>
        <w:pageBreakBefore w:val="0"/>
        <w:widowControl w:val="0"/>
        <w:kinsoku/>
        <w:wordWrap/>
        <w:overflowPunct/>
        <w:topLinePunct w:val="0"/>
        <w:bidi w:val="0"/>
        <w:snapToGrid w:val="0"/>
        <w:spacing w:line="360" w:lineRule="auto"/>
        <w:ind w:firstLine="402" w:firstLineChars="200"/>
        <w:jc w:val="both"/>
        <w:textAlignment w:val="auto"/>
        <w:rPr>
          <w:rFonts w:hint="eastAsia" w:ascii="宋体" w:hAnsi="宋体" w:eastAsia="宋体" w:cs="宋体"/>
          <w:b/>
          <w:bCs/>
          <w:color w:val="000000" w:themeColor="text1"/>
          <w:kern w:val="2"/>
          <w:sz w:val="20"/>
          <w:szCs w:val="20"/>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八、其它事项</w:t>
      </w:r>
    </w:p>
    <w:p w14:paraId="4F0423EC">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（一）乙方不得转让、分包给其它单位或个人。</w:t>
      </w:r>
    </w:p>
    <w:p w14:paraId="0BDC7957">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（二）乙方的响应文件和承诺等内容将列入合同。</w:t>
      </w:r>
    </w:p>
    <w:p w14:paraId="28002AD7">
      <w:pPr>
        <w:keepNext w:val="0"/>
        <w:keepLines w:val="0"/>
        <w:pageBreakBefore w:val="0"/>
        <w:widowControl w:val="0"/>
        <w:kinsoku/>
        <w:wordWrap/>
        <w:overflowPunct/>
        <w:topLinePunct w:val="0"/>
        <w:bidi w:val="0"/>
        <w:snapToGrid w:val="0"/>
        <w:spacing w:line="360" w:lineRule="auto"/>
        <w:ind w:firstLine="402" w:firstLineChars="200"/>
        <w:jc w:val="both"/>
        <w:textAlignment w:val="auto"/>
        <w:rPr>
          <w:rFonts w:hint="eastAsia" w:ascii="宋体" w:hAnsi="宋体" w:eastAsia="宋体" w:cs="宋体"/>
          <w:b/>
          <w:bCs/>
          <w:color w:val="000000" w:themeColor="text1"/>
          <w:kern w:val="2"/>
          <w:sz w:val="20"/>
          <w:szCs w:val="20"/>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九、违约责任</w:t>
      </w:r>
    </w:p>
    <w:p w14:paraId="5141A5BE">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（一）按</w:t>
      </w:r>
      <w:r>
        <w:rPr>
          <w:rFonts w:hint="eastAsia" w:ascii="宋体" w:hAnsi="宋体" w:eastAsia="宋体" w:cs="宋体"/>
          <w:color w:val="000000" w:themeColor="text1"/>
          <w:kern w:val="2"/>
          <w:sz w:val="20"/>
          <w:szCs w:val="20"/>
          <w:lang w:val="en-US" w:eastAsia="zh-CN" w:bidi="ar-SA"/>
          <w14:textFill>
            <w14:solidFill>
              <w14:schemeClr w14:val="tx1"/>
            </w14:solidFill>
          </w14:textFill>
        </w:rPr>
        <w:t>《中华人民共和国民法典》</w:t>
      </w: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中的相关条款执行。</w:t>
      </w:r>
    </w:p>
    <w:p w14:paraId="0C9E215F">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shd w:val="clear" w:color="auto" w:fill="FFFFFF"/>
          <w14:textFill>
            <w14:solidFill>
              <w14:schemeClr w14:val="tx1"/>
            </w14:solidFill>
          </w14:textFill>
        </w:rPr>
        <w:t>（二）</w:t>
      </w:r>
      <w:r>
        <w:rPr>
          <w:rFonts w:hint="eastAsia" w:ascii="宋体" w:hAnsi="宋体" w:cs="宋体"/>
          <w:color w:val="000000" w:themeColor="text1"/>
          <w:sz w:val="20"/>
          <w:szCs w:val="20"/>
          <w:shd w:val="clear" w:color="auto" w:fill="FFFFFF"/>
          <w:lang w:val="en-US" w:eastAsia="zh-CN"/>
          <w14:textFill>
            <w14:solidFill>
              <w14:schemeClr w14:val="tx1"/>
            </w14:solidFill>
          </w14:textFill>
        </w:rPr>
        <w:t>未</w:t>
      </w:r>
      <w:r>
        <w:rPr>
          <w:rFonts w:hint="eastAsia" w:ascii="宋体" w:hAnsi="宋体" w:eastAsia="宋体" w:cs="宋体"/>
          <w:color w:val="000000" w:themeColor="text1"/>
          <w:sz w:val="20"/>
          <w:szCs w:val="20"/>
          <w14:textFill>
            <w14:solidFill>
              <w14:schemeClr w14:val="tx1"/>
            </w14:solidFill>
          </w14:textFill>
        </w:rPr>
        <w:t>按合同要求提供服务或服务质量不能满足采购技术要求，甲方有权要求乙方整改或完善，乙方必须无条件提高技术，完善服务质量。否则，甲方有权会同监督机构、采购代理机构终止本合同并追究乙方违约的责任，同时按政府采购投标人管理办法进行相应的处罚，给甲方造成损失的还应承担因此造成的所有损失。</w:t>
      </w:r>
    </w:p>
    <w:p w14:paraId="443D26DD">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lang w:val="en-US" w:eastAsia="zh-CN"/>
          <w14:textFill>
            <w14:solidFill>
              <w14:schemeClr w14:val="tx1"/>
            </w14:solidFill>
          </w14:textFill>
        </w:rPr>
        <w:t>三</w:t>
      </w:r>
      <w:r>
        <w:rPr>
          <w:rFonts w:hint="eastAsia" w:ascii="宋体" w:hAnsi="宋体" w:eastAsia="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14:textFill>
            <w14:solidFill>
              <w14:schemeClr w14:val="tx1"/>
            </w14:solidFill>
          </w14:textFill>
        </w:rPr>
        <w:t>任何一方因不可抗力原因不能履行协议时，应尽快通知对方，双方均设法补偿。如仍无法履约协议，可协商延缓或撤销协议，双方责任免除。</w:t>
      </w:r>
    </w:p>
    <w:p w14:paraId="0D6C2861">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lang w:val="en-US" w:eastAsia="zh-CN"/>
          <w14:textFill>
            <w14:solidFill>
              <w14:schemeClr w14:val="tx1"/>
            </w14:solidFill>
          </w14:textFill>
        </w:rPr>
        <w:t>四</w:t>
      </w:r>
      <w:r>
        <w:rPr>
          <w:rFonts w:hint="eastAsia" w:ascii="宋体" w:hAnsi="宋体" w:eastAsia="宋体" w:cs="宋体"/>
          <w:color w:val="000000" w:themeColor="text1"/>
          <w:sz w:val="20"/>
          <w:szCs w:val="20"/>
          <w:lang w:eastAsia="zh-CN"/>
          <w14:textFill>
            <w14:solidFill>
              <w14:schemeClr w14:val="tx1"/>
            </w14:solidFill>
          </w14:textFill>
        </w:rPr>
        <w:t>）出现下列情况，每次扣除维护服务费1000元，从当期维护服务费中扣除。</w:t>
      </w:r>
    </w:p>
    <w:p w14:paraId="51E901E7">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1</w:t>
      </w:r>
      <w:r>
        <w:rPr>
          <w:rFonts w:hint="eastAsia" w:ascii="宋体" w:hAnsi="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lang w:eastAsia="zh-CN"/>
          <w14:textFill>
            <w14:solidFill>
              <w14:schemeClr w14:val="tx1"/>
            </w14:solidFill>
          </w14:textFill>
        </w:rPr>
        <w:t>供应商在服务期内，应当按中心要求保证运维质量，如未按要求及时响应维护。</w:t>
      </w:r>
    </w:p>
    <w:p w14:paraId="34CD0EC8">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2</w:t>
      </w:r>
      <w:r>
        <w:rPr>
          <w:rFonts w:hint="eastAsia" w:ascii="宋体" w:hAnsi="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lang w:eastAsia="zh-CN"/>
          <w14:textFill>
            <w14:solidFill>
              <w14:schemeClr w14:val="tx1"/>
            </w14:solidFill>
          </w14:textFill>
        </w:rPr>
        <w:t>日常维护中因巡检不到位造成故障不能及时发现处置。</w:t>
      </w:r>
    </w:p>
    <w:p w14:paraId="23381024">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3</w:t>
      </w:r>
      <w:r>
        <w:rPr>
          <w:rFonts w:hint="eastAsia" w:ascii="宋体" w:hAnsi="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lang w:eastAsia="zh-CN"/>
          <w14:textFill>
            <w14:solidFill>
              <w14:schemeClr w14:val="tx1"/>
            </w14:solidFill>
          </w14:textFill>
        </w:rPr>
        <w:t>供应商应保障支撑平台运行的连续性，制订连续性应急措施，如发生硬件损坏故障，因应急措施不当影响了支撑平台运行的连续性。</w:t>
      </w:r>
    </w:p>
    <w:p w14:paraId="5587D483">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4</w:t>
      </w:r>
      <w:r>
        <w:rPr>
          <w:rFonts w:hint="eastAsia" w:ascii="宋体" w:hAnsi="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lang w:eastAsia="zh-CN"/>
          <w14:textFill>
            <w14:solidFill>
              <w14:schemeClr w14:val="tx1"/>
            </w14:solidFill>
          </w14:textFill>
        </w:rPr>
        <w:t>未经允许驻场人员擅离职守。</w:t>
      </w:r>
    </w:p>
    <w:p w14:paraId="05024E69">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cs="宋体"/>
          <w:color w:val="000000" w:themeColor="text1"/>
          <w:sz w:val="20"/>
          <w:szCs w:val="20"/>
          <w:lang w:eastAsia="zh-CN"/>
          <w14:textFill>
            <w14:solidFill>
              <w14:schemeClr w14:val="tx1"/>
            </w14:solidFill>
          </w14:textFill>
        </w:rPr>
        <w:t>（</w:t>
      </w:r>
      <w:r>
        <w:rPr>
          <w:rFonts w:hint="eastAsia" w:ascii="宋体" w:hAnsi="宋体" w:cs="宋体"/>
          <w:color w:val="000000" w:themeColor="text1"/>
          <w:sz w:val="20"/>
          <w:szCs w:val="20"/>
          <w:lang w:val="en-US" w:eastAsia="zh-CN"/>
          <w14:textFill>
            <w14:solidFill>
              <w14:schemeClr w14:val="tx1"/>
            </w14:solidFill>
          </w14:textFill>
        </w:rPr>
        <w:t>五</w:t>
      </w:r>
      <w:r>
        <w:rPr>
          <w:rFonts w:hint="eastAsia" w:ascii="宋体" w:hAnsi="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lang w:eastAsia="zh-CN"/>
          <w14:textFill>
            <w14:solidFill>
              <w14:schemeClr w14:val="tx1"/>
            </w14:solidFill>
          </w14:textFill>
        </w:rPr>
        <w:t>供应商未提供保证本运维项目执行的管理及运维文件，中心可以推迟付款，直至供应商补齐有关文件。</w:t>
      </w:r>
    </w:p>
    <w:p w14:paraId="49352088">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cs="宋体"/>
          <w:color w:val="000000" w:themeColor="text1"/>
          <w:sz w:val="20"/>
          <w:szCs w:val="20"/>
          <w:lang w:eastAsia="zh-CN"/>
          <w14:textFill>
            <w14:solidFill>
              <w14:schemeClr w14:val="tx1"/>
            </w14:solidFill>
          </w14:textFill>
        </w:rPr>
        <w:t>（</w:t>
      </w:r>
      <w:r>
        <w:rPr>
          <w:rFonts w:hint="eastAsia" w:ascii="宋体" w:hAnsi="宋体" w:cs="宋体"/>
          <w:color w:val="000000" w:themeColor="text1"/>
          <w:sz w:val="20"/>
          <w:szCs w:val="20"/>
          <w:lang w:val="en-US" w:eastAsia="zh-CN"/>
          <w14:textFill>
            <w14:solidFill>
              <w14:schemeClr w14:val="tx1"/>
            </w14:solidFill>
          </w14:textFill>
        </w:rPr>
        <w:t>六</w:t>
      </w:r>
      <w:r>
        <w:rPr>
          <w:rFonts w:hint="eastAsia" w:ascii="宋体" w:hAnsi="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lang w:eastAsia="zh-CN"/>
          <w14:textFill>
            <w14:solidFill>
              <w14:schemeClr w14:val="tx1"/>
            </w14:solidFill>
          </w14:textFill>
        </w:rPr>
        <w:t>供应商如不能及时开具全额发票或采购人要求的保函，采购人有权延时付款且不承担违约责任，直至供应商开具全额发票或采购人要求的保函后再进行付款。</w:t>
      </w:r>
    </w:p>
    <w:p w14:paraId="77CD5EBB">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cs="宋体"/>
          <w:color w:val="000000" w:themeColor="text1"/>
          <w:sz w:val="20"/>
          <w:szCs w:val="20"/>
          <w:lang w:eastAsia="zh-CN"/>
          <w14:textFill>
            <w14:solidFill>
              <w14:schemeClr w14:val="tx1"/>
            </w14:solidFill>
          </w14:textFill>
        </w:rPr>
        <w:t>（</w:t>
      </w:r>
      <w:r>
        <w:rPr>
          <w:rFonts w:hint="eastAsia" w:ascii="宋体" w:hAnsi="宋体" w:cs="宋体"/>
          <w:color w:val="000000" w:themeColor="text1"/>
          <w:sz w:val="20"/>
          <w:szCs w:val="20"/>
          <w:lang w:val="en-US" w:eastAsia="zh-CN"/>
          <w14:textFill>
            <w14:solidFill>
              <w14:schemeClr w14:val="tx1"/>
            </w14:solidFill>
          </w14:textFill>
        </w:rPr>
        <w:t>七</w:t>
      </w:r>
      <w:r>
        <w:rPr>
          <w:rFonts w:hint="eastAsia" w:ascii="宋体" w:hAnsi="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lang w:eastAsia="zh-CN"/>
          <w14:textFill>
            <w14:solidFill>
              <w14:schemeClr w14:val="tx1"/>
            </w14:solidFill>
          </w14:textFill>
        </w:rPr>
        <w:t>因供应商泄密或操作不当造成中心利益损害，除一切后果与法律责任由供应商承担，中心有权要求供应商赔偿经济损失。</w:t>
      </w:r>
    </w:p>
    <w:p w14:paraId="17411A0F">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cs="宋体"/>
          <w:color w:val="000000" w:themeColor="text1"/>
          <w:sz w:val="20"/>
          <w:szCs w:val="20"/>
          <w:lang w:eastAsia="zh-CN"/>
          <w14:textFill>
            <w14:solidFill>
              <w14:schemeClr w14:val="tx1"/>
            </w14:solidFill>
          </w14:textFill>
        </w:rPr>
        <w:t>（</w:t>
      </w:r>
      <w:r>
        <w:rPr>
          <w:rFonts w:hint="eastAsia" w:ascii="宋体" w:hAnsi="宋体" w:cs="宋体"/>
          <w:color w:val="000000" w:themeColor="text1"/>
          <w:sz w:val="20"/>
          <w:szCs w:val="20"/>
          <w:lang w:val="en-US" w:eastAsia="zh-CN"/>
          <w14:textFill>
            <w14:solidFill>
              <w14:schemeClr w14:val="tx1"/>
            </w14:solidFill>
          </w14:textFill>
        </w:rPr>
        <w:t>八</w:t>
      </w:r>
      <w:r>
        <w:rPr>
          <w:rFonts w:hint="eastAsia" w:ascii="宋体" w:hAnsi="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lang w:eastAsia="zh-CN"/>
          <w14:textFill>
            <w14:solidFill>
              <w14:schemeClr w14:val="tx1"/>
            </w14:solidFill>
          </w14:textFill>
        </w:rPr>
        <w:t>上述违约内容直接从中心未支付供应商的合同金额中扣减，如合同剩余金额不足的，供应商应在规定时限内向中心交纳。</w:t>
      </w:r>
    </w:p>
    <w:p w14:paraId="4684011F">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cs="宋体"/>
          <w:color w:val="000000" w:themeColor="text1"/>
          <w:sz w:val="20"/>
          <w:szCs w:val="20"/>
          <w:lang w:eastAsia="zh-CN"/>
          <w14:textFill>
            <w14:solidFill>
              <w14:schemeClr w14:val="tx1"/>
            </w14:solidFill>
          </w14:textFill>
        </w:rPr>
        <w:t>（</w:t>
      </w:r>
      <w:r>
        <w:rPr>
          <w:rFonts w:hint="eastAsia" w:ascii="宋体" w:hAnsi="宋体" w:cs="宋体"/>
          <w:color w:val="000000" w:themeColor="text1"/>
          <w:sz w:val="20"/>
          <w:szCs w:val="20"/>
          <w:lang w:val="en-US" w:eastAsia="zh-CN"/>
          <w14:textFill>
            <w14:solidFill>
              <w14:schemeClr w14:val="tx1"/>
            </w14:solidFill>
          </w14:textFill>
        </w:rPr>
        <w:t>九</w:t>
      </w:r>
      <w:r>
        <w:rPr>
          <w:rFonts w:hint="eastAsia" w:ascii="宋体" w:hAnsi="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lang w:eastAsia="zh-CN"/>
          <w14:textFill>
            <w14:solidFill>
              <w14:schemeClr w14:val="tx1"/>
            </w14:solidFill>
          </w14:textFill>
        </w:rPr>
        <w:t>因供应商原因，导致合同无法按时签订的，视为对项目的自动放弃，采购方有权取消供应商的中标或成交资格、并有权依据采购文件中的约定及相关法律规定，追究供应商的违约责任。</w:t>
      </w:r>
    </w:p>
    <w:p w14:paraId="534D1E86">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cs="宋体"/>
          <w:color w:val="000000" w:themeColor="text1"/>
          <w:sz w:val="20"/>
          <w:szCs w:val="20"/>
          <w:lang w:eastAsia="zh-CN"/>
          <w14:textFill>
            <w14:solidFill>
              <w14:schemeClr w14:val="tx1"/>
            </w14:solidFill>
          </w14:textFill>
        </w:rPr>
        <w:t>（</w:t>
      </w:r>
      <w:r>
        <w:rPr>
          <w:rFonts w:hint="eastAsia" w:ascii="宋体" w:hAnsi="宋体" w:cs="宋体"/>
          <w:color w:val="000000" w:themeColor="text1"/>
          <w:sz w:val="20"/>
          <w:szCs w:val="20"/>
          <w:lang w:val="en-US" w:eastAsia="zh-CN"/>
          <w14:textFill>
            <w14:solidFill>
              <w14:schemeClr w14:val="tx1"/>
            </w14:solidFill>
          </w14:textFill>
        </w:rPr>
        <w:t>十</w:t>
      </w:r>
      <w:r>
        <w:rPr>
          <w:rFonts w:hint="eastAsia" w:ascii="宋体" w:hAnsi="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lang w:eastAsia="zh-CN"/>
          <w14:textFill>
            <w14:solidFill>
              <w14:schemeClr w14:val="tx1"/>
            </w14:solidFill>
          </w14:textFill>
        </w:rPr>
        <w:t>供应商如不能及时开具全额发票或采购人要求的保函，采购人有权延时付款且不承担违约责任，直至供应商开具全额发票或采购人要求的保函后再进行付款。</w:t>
      </w:r>
    </w:p>
    <w:p w14:paraId="68DBF74E">
      <w:pPr>
        <w:widowControl/>
        <w:autoSpaceDE w:val="0"/>
        <w:autoSpaceDN w:val="0"/>
        <w:adjustRightInd w:val="0"/>
        <w:snapToGrid w:val="0"/>
        <w:spacing w:line="360" w:lineRule="auto"/>
        <w:ind w:firstLine="402" w:firstLineChars="200"/>
        <w:textAlignment w:val="baseline"/>
        <w:rPr>
          <w:rFonts w:hint="eastAsia"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lang w:val="en-US" w:eastAsia="zh-CN"/>
          <w14:textFill>
            <w14:solidFill>
              <w14:schemeClr w14:val="tx1"/>
            </w14:solidFill>
          </w14:textFill>
        </w:rPr>
        <w:t>十</w:t>
      </w:r>
      <w:r>
        <w:rPr>
          <w:rFonts w:hint="eastAsia" w:ascii="宋体" w:hAnsi="宋体" w:eastAsia="宋体" w:cs="宋体"/>
          <w:b/>
          <w:bCs/>
          <w:color w:val="000000" w:themeColor="text1"/>
          <w:sz w:val="20"/>
          <w:szCs w:val="20"/>
          <w14:textFill>
            <w14:solidFill>
              <w14:schemeClr w14:val="tx1"/>
            </w14:solidFill>
          </w14:textFill>
        </w:rPr>
        <w:t>、保密规定</w:t>
      </w:r>
    </w:p>
    <w:p w14:paraId="09034199">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1.</w:t>
      </w:r>
      <w:r>
        <w:rPr>
          <w:rFonts w:hint="eastAsia" w:ascii="宋体" w:hAnsi="宋体" w:eastAsia="宋体" w:cs="宋体"/>
          <w:color w:val="000000" w:themeColor="text1"/>
          <w:sz w:val="20"/>
          <w:szCs w:val="20"/>
          <w14:textFill>
            <w14:solidFill>
              <w14:schemeClr w14:val="tx1"/>
            </w14:solidFill>
          </w14:textFill>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14:paraId="1417BDA9">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highlight w:val="none"/>
          <w:lang w:val="en-US" w:eastAsia="zh-CN"/>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2.保密要求</w:t>
      </w:r>
    </w:p>
    <w:p w14:paraId="1E471C5D">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highlight w:val="none"/>
          <w:lang w:val="en-US" w:eastAsia="zh-CN"/>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项目实施过程中所收集、产生的所有与本项目相关的文档、资料，包括文字、图片、表格、数字、数据等各种形式所属权均归属省收费中心，</w:t>
      </w:r>
      <w:r>
        <w:rPr>
          <w:rFonts w:hint="eastAsia" w:ascii="宋体" w:hAnsi="宋体" w:cs="宋体"/>
          <w:color w:val="000000" w:themeColor="text1"/>
          <w:sz w:val="20"/>
          <w:szCs w:val="20"/>
          <w:highlight w:val="none"/>
          <w:lang w:val="en-US" w:eastAsia="zh-CN"/>
          <w14:textFill>
            <w14:solidFill>
              <w14:schemeClr w14:val="tx1"/>
            </w14:solidFill>
          </w14:textFill>
        </w:rPr>
        <w:t>供应商</w:t>
      </w:r>
      <w:r>
        <w:rPr>
          <w:rFonts w:hint="eastAsia" w:ascii="宋体" w:hAnsi="宋体" w:eastAsia="宋体" w:cs="宋体"/>
          <w:color w:val="000000" w:themeColor="text1"/>
          <w:sz w:val="20"/>
          <w:szCs w:val="20"/>
          <w:highlight w:val="none"/>
          <w:lang w:val="en-US" w:eastAsia="zh-CN"/>
          <w14:textFill>
            <w14:solidFill>
              <w14:schemeClr w14:val="tx1"/>
            </w14:solidFill>
          </w14:textFill>
        </w:rPr>
        <w:t>必须对获悉的保密信息负有完全和严格的保密义务，</w:t>
      </w:r>
      <w:r>
        <w:rPr>
          <w:rFonts w:hint="eastAsia" w:ascii="宋体" w:hAnsi="宋体" w:cs="宋体"/>
          <w:color w:val="000000" w:themeColor="text1"/>
          <w:sz w:val="20"/>
          <w:szCs w:val="20"/>
          <w:highlight w:val="none"/>
          <w:lang w:val="en-US" w:eastAsia="zh-CN"/>
          <w14:textFill>
            <w14:solidFill>
              <w14:schemeClr w14:val="tx1"/>
            </w14:solidFill>
          </w14:textFill>
        </w:rPr>
        <w:t>供应商</w:t>
      </w:r>
      <w:r>
        <w:rPr>
          <w:rFonts w:hint="eastAsia" w:ascii="宋体" w:hAnsi="宋体" w:eastAsia="宋体" w:cs="宋体"/>
          <w:color w:val="000000" w:themeColor="text1"/>
          <w:sz w:val="20"/>
          <w:szCs w:val="20"/>
          <w:highlight w:val="none"/>
          <w:lang w:val="en-US" w:eastAsia="zh-CN"/>
          <w14:textFill>
            <w14:solidFill>
              <w14:schemeClr w14:val="tx1"/>
            </w14:solidFill>
          </w14:textFill>
        </w:rPr>
        <w:t>及服务人员应按照要求签署保密协议。未经省收费中心事先书面同意，</w:t>
      </w:r>
      <w:r>
        <w:rPr>
          <w:rFonts w:hint="eastAsia" w:ascii="宋体" w:hAnsi="宋体" w:cs="宋体"/>
          <w:color w:val="000000" w:themeColor="text1"/>
          <w:sz w:val="20"/>
          <w:szCs w:val="20"/>
          <w:highlight w:val="none"/>
          <w:lang w:val="en-US" w:eastAsia="zh-CN"/>
          <w14:textFill>
            <w14:solidFill>
              <w14:schemeClr w14:val="tx1"/>
            </w14:solidFill>
          </w14:textFill>
        </w:rPr>
        <w:t>供应商</w:t>
      </w:r>
      <w:r>
        <w:rPr>
          <w:rFonts w:hint="eastAsia" w:ascii="宋体" w:hAnsi="宋体" w:eastAsia="宋体" w:cs="宋体"/>
          <w:color w:val="000000" w:themeColor="text1"/>
          <w:sz w:val="20"/>
          <w:szCs w:val="20"/>
          <w:highlight w:val="none"/>
          <w:lang w:val="en-US" w:eastAsia="zh-CN"/>
          <w14:textFill>
            <w14:solidFill>
              <w14:schemeClr w14:val="tx1"/>
            </w14:solidFill>
          </w14:textFill>
        </w:rPr>
        <w:t>不得传输、复制、转让、泄露信息至非交易所属单位。</w:t>
      </w:r>
    </w:p>
    <w:p w14:paraId="15823712">
      <w:pPr>
        <w:keepNext w:val="0"/>
        <w:keepLines w:val="0"/>
        <w:pageBreakBefore w:val="0"/>
        <w:widowControl w:val="0"/>
        <w:kinsoku/>
        <w:wordWrap/>
        <w:overflowPunct/>
        <w:topLinePunct w:val="0"/>
        <w:bidi w:val="0"/>
        <w:snapToGrid w:val="0"/>
        <w:spacing w:line="360" w:lineRule="auto"/>
        <w:ind w:firstLine="402" w:firstLineChars="200"/>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十一、合同争议解决的方式</w:t>
      </w:r>
    </w:p>
    <w:p w14:paraId="1BD357B4">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2"/>
          <w:sz w:val="20"/>
          <w:szCs w:val="20"/>
          <w:lang w:val="en-US" w:eastAsia="zh-CN" w:bidi="ar-SA"/>
          <w14:textFill>
            <w14:solidFill>
              <w14:schemeClr w14:val="tx1"/>
            </w14:solidFill>
          </w14:textFill>
        </w:rPr>
        <w:t>本合同在履行过程中发生争议的，由甲、乙双方协商解决，协商不成的，双方同意提交甲方所在地人民法院裁决。</w:t>
      </w:r>
    </w:p>
    <w:p w14:paraId="0689270A">
      <w:pPr>
        <w:keepNext w:val="0"/>
        <w:keepLines w:val="0"/>
        <w:pageBreakBefore w:val="0"/>
        <w:widowControl w:val="0"/>
        <w:numPr>
          <w:ilvl w:val="0"/>
          <w:numId w:val="0"/>
        </w:numPr>
        <w:kinsoku/>
        <w:wordWrap/>
        <w:overflowPunct/>
        <w:topLinePunct w:val="0"/>
        <w:bidi w:val="0"/>
        <w:snapToGrid w:val="0"/>
        <w:spacing w:line="360" w:lineRule="auto"/>
        <w:ind w:firstLine="402" w:firstLineChars="200"/>
        <w:jc w:val="both"/>
        <w:textAlignment w:val="auto"/>
        <w:rPr>
          <w:rFonts w:hint="eastAsia" w:ascii="宋体" w:hAnsi="宋体" w:eastAsia="宋体" w:cs="宋体"/>
          <w:b/>
          <w:bCs/>
          <w:color w:val="000000" w:themeColor="text1"/>
          <w:kern w:val="2"/>
          <w:sz w:val="20"/>
          <w:szCs w:val="20"/>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十二、其他事项</w:t>
      </w:r>
    </w:p>
    <w:p w14:paraId="4739DEF6">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0"/>
          <w:szCs w:val="20"/>
          <w:lang w:val="en-US" w:eastAsia="zh-CN" w:bidi="ar-SA"/>
          <w14:textFill>
            <w14:solidFill>
              <w14:schemeClr w14:val="tx1"/>
            </w14:solidFill>
          </w14:textFill>
        </w:rPr>
        <w:t>1、本项目不允许分包。</w:t>
      </w:r>
    </w:p>
    <w:p w14:paraId="1BE2EB5F">
      <w:pPr>
        <w:keepNext w:val="0"/>
        <w:keepLines w:val="0"/>
        <w:pageBreakBefore w:val="0"/>
        <w:widowControl w:val="0"/>
        <w:kinsoku/>
        <w:wordWrap/>
        <w:overflowPunct/>
        <w:topLinePunct w:val="0"/>
        <w:bidi w:val="0"/>
        <w:snapToGrid w:val="0"/>
        <w:spacing w:line="360" w:lineRule="auto"/>
        <w:ind w:left="-2" w:leftChars="-1" w:firstLine="400" w:firstLineChars="200"/>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2"/>
          <w:sz w:val="20"/>
          <w:szCs w:val="20"/>
          <w:lang w:val="en-US" w:eastAsia="zh-CN" w:bidi="ar-SA"/>
          <w14:textFill>
            <w14:solidFill>
              <w14:schemeClr w14:val="tx1"/>
            </w14:solidFill>
          </w14:textFill>
        </w:rPr>
        <w:t>2、本合同一式捌份，甲方执</w:t>
      </w: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肆</w:t>
      </w:r>
      <w:r>
        <w:rPr>
          <w:rFonts w:hint="eastAsia" w:ascii="宋体" w:hAnsi="宋体" w:eastAsia="宋体" w:cs="宋体"/>
          <w:color w:val="000000" w:themeColor="text1"/>
          <w:kern w:val="2"/>
          <w:sz w:val="20"/>
          <w:szCs w:val="20"/>
          <w:lang w:val="en-US" w:eastAsia="zh-CN" w:bidi="ar-SA"/>
          <w14:textFill>
            <w14:solidFill>
              <w14:schemeClr w14:val="tx1"/>
            </w14:solidFill>
          </w14:textFill>
        </w:rPr>
        <w:t>份，乙方执</w:t>
      </w: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肆</w:t>
      </w:r>
      <w:r>
        <w:rPr>
          <w:rFonts w:hint="eastAsia" w:ascii="宋体" w:hAnsi="宋体" w:eastAsia="宋体" w:cs="宋体"/>
          <w:color w:val="000000" w:themeColor="text1"/>
          <w:kern w:val="2"/>
          <w:sz w:val="20"/>
          <w:szCs w:val="20"/>
          <w:lang w:val="en-US" w:eastAsia="zh-CN" w:bidi="ar-SA"/>
          <w14:textFill>
            <w14:solidFill>
              <w14:schemeClr w14:val="tx1"/>
            </w14:solidFill>
          </w14:textFill>
        </w:rPr>
        <w:t>份，自双签字盖章之日起生效。</w:t>
      </w:r>
    </w:p>
    <w:tbl>
      <w:tblPr>
        <w:tblStyle w:val="2"/>
        <w:tblpPr w:leftFromText="180" w:rightFromText="180" w:vertAnchor="text" w:horzAnchor="page" w:tblpXSpec="center" w:tblpY="30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5"/>
        <w:gridCol w:w="4326"/>
      </w:tblGrid>
      <w:tr w14:paraId="2D56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181BFB12">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lang w:eastAsia="zh-CN"/>
                <w14:textFill>
                  <w14:solidFill>
                    <w14:schemeClr w14:val="tx1"/>
                  </w14:solidFill>
                </w14:textFill>
              </w:rPr>
            </w:pPr>
            <w:r>
              <w:rPr>
                <w:rFonts w:hint="eastAsia" w:ascii="宋体" w:hAnsi="宋体" w:eastAsia="宋体" w:cs="宋体"/>
                <w:b/>
                <w:color w:val="000000" w:themeColor="text1"/>
                <w:sz w:val="20"/>
                <w:szCs w:val="20"/>
                <w14:textFill>
                  <w14:solidFill>
                    <w14:schemeClr w14:val="tx1"/>
                  </w14:solidFill>
                </w14:textFill>
              </w:rPr>
              <w:t>甲方：（盖章）陕西省高速公路收费中心</w:t>
            </w:r>
          </w:p>
        </w:tc>
        <w:tc>
          <w:tcPr>
            <w:tcW w:w="4326" w:type="dxa"/>
            <w:noWrap w:val="0"/>
            <w:vAlign w:val="center"/>
          </w:tcPr>
          <w:p w14:paraId="661B0737">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b/>
                <w:color w:val="000000" w:themeColor="text1"/>
                <w:sz w:val="20"/>
                <w:szCs w:val="20"/>
                <w14:textFill>
                  <w14:solidFill>
                    <w14:schemeClr w14:val="tx1"/>
                  </w14:solidFill>
                </w14:textFill>
              </w:rPr>
              <w:t>乙方：（盖章）</w:t>
            </w:r>
          </w:p>
        </w:tc>
      </w:tr>
      <w:tr w14:paraId="1488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55" w:type="dxa"/>
            <w:noWrap w:val="0"/>
            <w:vAlign w:val="center"/>
          </w:tcPr>
          <w:p w14:paraId="27BAB076">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z w:val="20"/>
                <w:szCs w:val="20"/>
                <w14:textFill>
                  <w14:solidFill>
                    <w14:schemeClr w14:val="tx1"/>
                  </w14:solidFill>
                </w14:textFill>
              </w:rPr>
            </w:pPr>
          </w:p>
          <w:p w14:paraId="4C993A12">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法人（签字或盖章）：</w:t>
            </w:r>
          </w:p>
          <w:p w14:paraId="018C6159">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p>
        </w:tc>
        <w:tc>
          <w:tcPr>
            <w:tcW w:w="4326" w:type="dxa"/>
            <w:noWrap w:val="0"/>
            <w:vAlign w:val="center"/>
          </w:tcPr>
          <w:p w14:paraId="5E67CE93">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法人（签字或盖章）：</w:t>
            </w:r>
          </w:p>
        </w:tc>
      </w:tr>
      <w:tr w14:paraId="53B8F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4955" w:type="dxa"/>
            <w:noWrap w:val="0"/>
            <w:vAlign w:val="center"/>
          </w:tcPr>
          <w:p w14:paraId="1E3DA657">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2"/>
                <w:sz w:val="20"/>
                <w:szCs w:val="20"/>
                <w:lang w:val="en-US" w:eastAsia="zh-CN" w:bidi="ar-SA"/>
                <w14:textFill>
                  <w14:solidFill>
                    <w14:schemeClr w14:val="tx1"/>
                  </w14:solidFill>
                </w14:textFill>
              </w:rPr>
              <w:t>委托代理人：</w:t>
            </w:r>
          </w:p>
        </w:tc>
        <w:tc>
          <w:tcPr>
            <w:tcW w:w="4326" w:type="dxa"/>
            <w:noWrap w:val="0"/>
            <w:vAlign w:val="center"/>
          </w:tcPr>
          <w:p w14:paraId="1945283F">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委托代理人：</w:t>
            </w:r>
          </w:p>
        </w:tc>
      </w:tr>
      <w:tr w14:paraId="10B84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4955" w:type="dxa"/>
            <w:noWrap w:val="0"/>
            <w:vAlign w:val="center"/>
          </w:tcPr>
          <w:p w14:paraId="37A3074A">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办公地址：</w:t>
            </w:r>
          </w:p>
        </w:tc>
        <w:tc>
          <w:tcPr>
            <w:tcW w:w="4326" w:type="dxa"/>
            <w:noWrap w:val="0"/>
            <w:vAlign w:val="center"/>
          </w:tcPr>
          <w:p w14:paraId="38251492">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办公地址：</w:t>
            </w:r>
          </w:p>
        </w:tc>
      </w:tr>
      <w:tr w14:paraId="1FB8E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4955" w:type="dxa"/>
            <w:noWrap w:val="0"/>
            <w:vAlign w:val="center"/>
          </w:tcPr>
          <w:p w14:paraId="012E38DF">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2"/>
                <w:sz w:val="20"/>
                <w:szCs w:val="20"/>
                <w:lang w:val="en-US" w:eastAsia="zh-CN" w:bidi="ar-SA"/>
                <w14:textFill>
                  <w14:solidFill>
                    <w14:schemeClr w14:val="tx1"/>
                  </w14:solidFill>
                </w14:textFill>
              </w:rPr>
              <w:t>电    话：</w:t>
            </w:r>
          </w:p>
        </w:tc>
        <w:tc>
          <w:tcPr>
            <w:tcW w:w="4326" w:type="dxa"/>
            <w:noWrap w:val="0"/>
            <w:vAlign w:val="center"/>
          </w:tcPr>
          <w:p w14:paraId="6C5D795B">
            <w:pPr>
              <w:keepNext w:val="0"/>
              <w:keepLines w:val="0"/>
              <w:pageBreakBefore w:val="0"/>
              <w:kinsoku/>
              <w:wordWrap/>
              <w:overflowPunct/>
              <w:topLinePunct w:val="0"/>
              <w:bidi w:val="0"/>
              <w:snapToGrid w:val="0"/>
              <w:spacing w:line="360" w:lineRule="auto"/>
              <w:ind w:left="5520" w:hanging="4600" w:hangingChars="2300"/>
              <w:jc w:val="left"/>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电    话：</w:t>
            </w:r>
          </w:p>
        </w:tc>
      </w:tr>
      <w:tr w14:paraId="248B8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64E94C30">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传    真：</w:t>
            </w:r>
          </w:p>
        </w:tc>
        <w:tc>
          <w:tcPr>
            <w:tcW w:w="4326" w:type="dxa"/>
            <w:noWrap w:val="0"/>
            <w:vAlign w:val="center"/>
          </w:tcPr>
          <w:p w14:paraId="160E241B">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传    真：</w:t>
            </w:r>
          </w:p>
        </w:tc>
      </w:tr>
      <w:tr w14:paraId="35B26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6643EFA9">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spacing w:val="20"/>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开户银行：</w:t>
            </w:r>
          </w:p>
        </w:tc>
        <w:tc>
          <w:tcPr>
            <w:tcW w:w="4326" w:type="dxa"/>
            <w:noWrap w:val="0"/>
            <w:vAlign w:val="center"/>
          </w:tcPr>
          <w:p w14:paraId="71D19C53">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开户银行：</w:t>
            </w:r>
          </w:p>
        </w:tc>
      </w:tr>
      <w:tr w14:paraId="115CA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6953B9B0">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帐号：</w:t>
            </w:r>
          </w:p>
        </w:tc>
        <w:tc>
          <w:tcPr>
            <w:tcW w:w="4326" w:type="dxa"/>
            <w:noWrap w:val="0"/>
            <w:vAlign w:val="center"/>
          </w:tcPr>
          <w:p w14:paraId="74CF2F8A">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账号：</w:t>
            </w:r>
          </w:p>
        </w:tc>
      </w:tr>
      <w:tr w14:paraId="41887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4955" w:type="dxa"/>
            <w:noWrap w:val="0"/>
            <w:vAlign w:val="center"/>
          </w:tcPr>
          <w:p w14:paraId="0DE2508C">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日   期：    年  月  日</w:t>
            </w:r>
          </w:p>
        </w:tc>
        <w:tc>
          <w:tcPr>
            <w:tcW w:w="4326" w:type="dxa"/>
            <w:noWrap w:val="0"/>
            <w:vAlign w:val="center"/>
          </w:tcPr>
          <w:p w14:paraId="063F9725">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日    期：    年  月  日</w:t>
            </w:r>
          </w:p>
        </w:tc>
      </w:tr>
    </w:tbl>
    <w:p w14:paraId="66AC9D77">
      <w:pPr>
        <w:pStyle w:val="4"/>
        <w:rPr>
          <w:rFonts w:hint="eastAsia"/>
          <w:lang w:val="en-US" w:eastAsia="zh-Hans"/>
        </w:rPr>
      </w:pPr>
    </w:p>
    <w:p w14:paraId="4468C53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A53AA0"/>
    <w:rsid w:val="45A53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2026-05-21T04:31:00Z</dcterms:created>
  <dc:creator>833</dc:creator>
  <cp:lastModifiedBy>833</cp:lastModifiedBy>
  <dcterms:modified xsi:type="dcterms:W3CDTF">2026-05-21T04:32:09Z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DC24CF432E3B4BAD869BD57F27C1FF8C_11</vt:lpwstr>
  </property>
  <property fmtid="{D5CDD505-2E9C-101B-9397-08002B2CF9AE}" pid="4" name="KSOTemplateDocerSaveRecord">
    <vt:lpwstr>eyJoZGlkIjoiNTI1OGU5NzEwNjlmOTA0NzYwMTIyZGJlNThjMzMxOGYiLCJ1c2VySWQiOiIzMTI3MDEwNzEifQ==</vt:lpwstr>
  </property>
</Properties>
</file>