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版本号：LZBE2026-27520260521001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高速公路联网收费系统业务支撑平台运维项目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LZBE2026-275</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高速公路联网收费系统业务支撑平台运维项目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高速公路联网收费系统业务支撑平台运维项目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速公路联网收费系统业务支撑平台是支撑我省高速公路收费业务管理、数据校核及拆分管理、资金上解及划拨管理、结算业务的生产系统，业务支撑平台重要程度高，要求7*24小时不间断运行。为保障业务支撑平台的稳定、安全、高效运行，现委托专业运维供应商进行运维服务保障工作,具体详见服务内容及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供应商提供2024或2025年度经会计师事务所审计并通过注册会计师行业统一监管平台备案赋码的审计报告（事业法人可提供部门决算报告）；或供应商基本账户银行出具的资信证明；或提供专业担保机构出具的投标担保函，供应商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4、参加本次政府采购活动前3年内在经营活动中没有重大违法记录的书面声明：供应商需提供参加本次政府采购活动前3年内在经营活动中没有重大违法记录的书面声明并进行电子签章</w:t>
      </w:r>
    </w:p>
    <w:p>
      <w:pPr>
        <w:pStyle w:val="null3"/>
      </w:pPr>
      <w:r>
        <w:rPr>
          <w:rFonts w:ascii="仿宋_GB2312" w:hAnsi="仿宋_GB2312" w:cs="仿宋_GB2312" w:eastAsia="仿宋_GB2312"/>
        </w:rPr>
        <w:t>5、具有履行合同所必需的设备和专业技术能力书面声明函：供应商需提供具有履行合同所必需的设备和专业技术能力书面声明函并进行电子签章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8、控股管理关系：提供直接控股和管理关系清单。若与其他供应商存在单位负责人为同一人或者存在直接控股、管理关系的，则磋商无效。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12%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速公路联网收费系统业务支撑平台是支撑我省高速公路收费业务管理、数据校核及拆分管理、资金上解及划拨管理、结算业务的生产系统，业务支撑平台重要程度高，要求7*24小时不间断运行。为保障业务支撑平台的稳定、安全、高效运行，现委托专业运维供应商进行运维服务保障工作,具体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1,790,000.00</w:t>
      </w:r>
    </w:p>
    <w:p>
      <w:pPr>
        <w:pStyle w:val="null3"/>
      </w:pPr>
      <w:r>
        <w:rPr>
          <w:rFonts w:ascii="仿宋_GB2312" w:hAnsi="仿宋_GB2312" w:cs="仿宋_GB2312" w:eastAsia="仿宋_GB2312"/>
        </w:rPr>
        <w:t>采购包最高限价（元）: 1,790,000.00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高速公路联网收费系统业务支撑平台运维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标的名称：高速公路联网收费系统业务支撑平台运维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项目概况</w:t>
            </w:r>
          </w:p>
          <w:p>
            <w:pPr>
              <w:pStyle w:val="null3"/>
              <w:jc w:val="both"/>
            </w:pPr>
            <w:r>
              <w:rPr>
                <w:rFonts w:ascii="仿宋_GB2312" w:hAnsi="仿宋_GB2312" w:cs="仿宋_GB2312" w:eastAsia="仿宋_GB2312"/>
                <w:sz w:val="20"/>
              </w:rPr>
              <w:t>（一）项目背景</w:t>
            </w:r>
          </w:p>
          <w:p>
            <w:pPr>
              <w:pStyle w:val="null3"/>
              <w:jc w:val="both"/>
            </w:pPr>
            <w:r>
              <w:rPr>
                <w:rFonts w:ascii="仿宋_GB2312" w:hAnsi="仿宋_GB2312" w:cs="仿宋_GB2312" w:eastAsia="仿宋_GB2312"/>
                <w:sz w:val="20"/>
              </w:rPr>
              <w:t>高速公路联网收费系统业务支撑平台是支撑我省高速公路收费业务管理、数据校核及拆分管理、资金上解及划拨管理、结算业务的生产系统，业务支撑平台重要程度高，要求</w:t>
            </w:r>
            <w:r>
              <w:rPr>
                <w:rFonts w:ascii="仿宋_GB2312" w:hAnsi="仿宋_GB2312" w:cs="仿宋_GB2312" w:eastAsia="仿宋_GB2312"/>
                <w:sz w:val="20"/>
              </w:rPr>
              <w:t>7*24小时不间断运行。为保障业务支撑平台的稳定、安全、高效运行，现委托专业运维供应商进行运维服务保障工作。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）服务范围</w:t>
            </w:r>
          </w:p>
          <w:p>
            <w:pPr>
              <w:pStyle w:val="null3"/>
              <w:jc w:val="both"/>
            </w:pPr>
            <w:r>
              <w:rPr>
                <w:rFonts w:ascii="仿宋_GB2312" w:hAnsi="仿宋_GB2312" w:cs="仿宋_GB2312" w:eastAsia="仿宋_GB2312"/>
                <w:sz w:val="20"/>
              </w:rPr>
              <w:t>本次运维服务范围包括省中心联网收费业务支撑平台各个子系统，包括机房相关基础环境、网络设施、计算资源及存储资源和配套基础软件等，</w:t>
            </w:r>
            <w:r>
              <w:rPr>
                <w:rFonts w:ascii="仿宋_GB2312" w:hAnsi="仿宋_GB2312" w:cs="仿宋_GB2312" w:eastAsia="仿宋_GB2312"/>
                <w:sz w:val="20"/>
              </w:rPr>
              <w:t>具体详见下列设备清单</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b/>
              </w:rPr>
              <w:t>陕西省高速公路联网收费业务支撑平台</w:t>
            </w:r>
          </w:p>
          <w:p>
            <w:pPr>
              <w:pStyle w:val="null3"/>
              <w:jc w:val="center"/>
            </w:pPr>
            <w:r>
              <w:rPr>
                <w:rFonts w:ascii="仿宋_GB2312" w:hAnsi="仿宋_GB2312" w:cs="仿宋_GB2312" w:eastAsia="仿宋_GB2312"/>
                <w:sz w:val="20"/>
                <w:b/>
              </w:rPr>
              <w:t>运维服务设备清单：</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、机房环境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供配电系统</w:t>
            </w:r>
            <w:r>
              <w:rPr>
                <w:rFonts w:ascii="仿宋_GB2312" w:hAnsi="仿宋_GB2312" w:cs="仿宋_GB2312" w:eastAsia="仿宋_GB2312"/>
                <w:sz w:val="20"/>
              </w:rPr>
              <w:t xml:space="preserve">  </w:t>
            </w:r>
            <w:r>
              <w:rPr>
                <w:rFonts w:ascii="仿宋_GB2312" w:hAnsi="仿宋_GB2312" w:cs="仿宋_GB2312" w:eastAsia="仿宋_GB2312"/>
                <w:sz w:val="20"/>
              </w:rPr>
              <w:t>英戚腾</w:t>
            </w:r>
            <w:r>
              <w:rPr>
                <w:rFonts w:ascii="仿宋_GB2312" w:hAnsi="仿宋_GB2312" w:cs="仿宋_GB2312" w:eastAsia="仿宋_GB2312"/>
                <w:sz w:val="20"/>
              </w:rPr>
              <w:t>RM200 25KVA*7（2台，在保）</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）智能列头柜</w:t>
            </w:r>
            <w:r>
              <w:rPr>
                <w:rFonts w:ascii="仿宋_GB2312" w:hAnsi="仿宋_GB2312" w:cs="仿宋_GB2312" w:eastAsia="仿宋_GB2312"/>
                <w:sz w:val="20"/>
              </w:rPr>
              <w:t xml:space="preserve">  </w:t>
            </w:r>
            <w:r>
              <w:rPr>
                <w:rFonts w:ascii="仿宋_GB2312" w:hAnsi="仿宋_GB2312" w:cs="仿宋_GB2312" w:eastAsia="仿宋_GB2312"/>
                <w:sz w:val="20"/>
              </w:rPr>
              <w:t>华晟智能</w:t>
            </w:r>
            <w:r>
              <w:rPr>
                <w:rFonts w:ascii="仿宋_GB2312" w:hAnsi="仿宋_GB2312" w:cs="仿宋_GB2312" w:eastAsia="仿宋_GB2312"/>
                <w:sz w:val="20"/>
              </w:rPr>
              <w:t>HS2000（4台，脱保）</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）精密空调</w:t>
            </w:r>
            <w:r>
              <w:rPr>
                <w:rFonts w:ascii="仿宋_GB2312" w:hAnsi="仿宋_GB2312" w:cs="仿宋_GB2312" w:eastAsia="仿宋_GB2312"/>
                <w:sz w:val="20"/>
              </w:rPr>
              <w:t xml:space="preserve">    </w:t>
            </w:r>
            <w:r>
              <w:rPr>
                <w:rFonts w:ascii="仿宋_GB2312" w:hAnsi="仿宋_GB2312" w:cs="仿宋_GB2312" w:eastAsia="仿宋_GB2312"/>
                <w:sz w:val="20"/>
              </w:rPr>
              <w:t>Envi cool空调（5台，脱保）、iTeaQ 空</w:t>
            </w:r>
            <w:r>
              <w:rPr>
                <w:rFonts w:ascii="仿宋_GB2312" w:hAnsi="仿宋_GB2312" w:cs="仿宋_GB2312" w:eastAsia="仿宋_GB2312"/>
                <w:sz w:val="20"/>
              </w:rPr>
              <w:t>调（</w:t>
            </w:r>
            <w:r>
              <w:rPr>
                <w:rFonts w:ascii="仿宋_GB2312" w:hAnsi="仿宋_GB2312" w:cs="仿宋_GB2312" w:eastAsia="仿宋_GB2312"/>
                <w:sz w:val="20"/>
              </w:rPr>
              <w:t>3台，脱保）、黎耀/leayo空调（3台，脱保）</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、网络设施</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H3C S6805-56HT-G（2台，在保）、锐捷交换机 RG-S5760C- 48GT4XS-X（10台，在保）、锐捷交换机 RG-S6150（4台、在保）、迈普S8900E-06 （2台，脱保）、迈普S12800（2台，脱保）、迈普S5820-54XQFP（12台，脱保）、迈普S5820-30XQFP（2台，脱保）、迈普S3320-56TC-AC（3台，脱保）、迈普S3330-54TXF-AC（1台，脱保）、博科BR6510（2台，脱保）、华为S7706（2台，脱保）、普天 CP ADC 3030S（4台，脱保）、锐捷交换机（2台，脱保）、华为交换机（1台，脱保）、华为S5700-52P-LI-AC（1台，脱保）、华为CE5855-48T4S2Q-E1（2台，脱保）、思科 Catalyst2950（3台，脱保）、MP7300X（1台，脱保）。</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、计算资源</w:t>
            </w:r>
          </w:p>
          <w:p>
            <w:pPr>
              <w:pStyle w:val="null3"/>
              <w:jc w:val="both"/>
            </w:pPr>
            <w:r>
              <w:rPr>
                <w:rFonts w:ascii="仿宋_GB2312" w:hAnsi="仿宋_GB2312" w:cs="仿宋_GB2312" w:eastAsia="仿宋_GB2312"/>
                <w:sz w:val="20"/>
              </w:rPr>
              <w:t>长城超云</w:t>
            </w:r>
            <w:r>
              <w:rPr>
                <w:rFonts w:ascii="仿宋_GB2312" w:hAnsi="仿宋_GB2312" w:cs="仿宋_GB2312" w:eastAsia="仿宋_GB2312"/>
                <w:sz w:val="20"/>
              </w:rPr>
              <w:t>GW R5210 G11（10台，脱保）、宁畅R620 G30（12台，脱保）、长城超云GW R7410（10台，脱保）、浪潮 NF5280M5（7台，脱保）、中兴ZXCLOUD R5300 G4（3台，脱保）、长城超云GW R7410（4台，脱保）、长城超云GW R5210 G11（4台，脱保）、宁畅R620 G30（5台，脱保）、宁畅R840 G30（2台，脱保）、迪思杰R7410（2台，脱保）、易捷行云-云主机（420台，脱保）、</w:t>
            </w:r>
          </w:p>
          <w:p>
            <w:pPr>
              <w:pStyle w:val="null3"/>
              <w:jc w:val="both"/>
            </w:pPr>
            <w:r>
              <w:rPr>
                <w:rFonts w:ascii="仿宋_GB2312" w:hAnsi="仿宋_GB2312" w:cs="仿宋_GB2312" w:eastAsia="仿宋_GB2312"/>
                <w:sz w:val="20"/>
              </w:rPr>
              <w:t>SYN2151（2台，脱保）、IBM X3650M4（1台，脱保）、联想3650M5（1台，脱保）、戴尔R230（3台，脱保）IBM X3650 M3（1台，脱保）、华为RH2288v3（2台，脱保）、HUAWEI-2288HV5（5台，脱保）、联想SR590（2台，脱保）、超聚变2288H V5（2台，脱保）、H3C UniServer R4930 G7（5台，在保）、华为TaiShan 200 (Model 2280) (VE)（3台，在保）、绿盟 科技UTS-TFANX3-HHB（1台，在保）。</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、存储资源</w:t>
            </w:r>
          </w:p>
          <w:p>
            <w:pPr>
              <w:pStyle w:val="null3"/>
              <w:jc w:val="both"/>
            </w:pPr>
            <w:r>
              <w:rPr>
                <w:rFonts w:ascii="仿宋_GB2312" w:hAnsi="仿宋_GB2312" w:cs="仿宋_GB2312" w:eastAsia="仿宋_GB2312"/>
                <w:sz w:val="20"/>
              </w:rPr>
              <w:t>长城超云</w:t>
            </w:r>
            <w:r>
              <w:rPr>
                <w:rFonts w:ascii="仿宋_GB2312" w:hAnsi="仿宋_GB2312" w:cs="仿宋_GB2312" w:eastAsia="仿宋_GB2312"/>
                <w:sz w:val="20"/>
              </w:rPr>
              <w:t>GW R5210 G11（19台，脱保）、宁畅R620 G40 （5台，脱保）、长城超云GW R5410（6台，脱保）、宏杉MS7370G2-mach（1台，脱保）、华为18500 V3（1台，脱保）、H3C UniStorCF22872H（1台，在保）。</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、基础软件</w:t>
            </w:r>
          </w:p>
          <w:p>
            <w:pPr>
              <w:pStyle w:val="null3"/>
            </w:pPr>
            <w:r>
              <w:rPr>
                <w:rFonts w:ascii="仿宋_GB2312" w:hAnsi="仿宋_GB2312" w:cs="仿宋_GB2312" w:eastAsia="仿宋_GB2312"/>
                <w:sz w:val="20"/>
              </w:rPr>
              <w:t>ECS云计算系统V5（1套，脱保）、XEDPV4（4套，脱保）、迪思杰DataXoneV3.1（1套，脱保）、迪思杰SuperSync数据库复制软件（5套，脱保）、云湾图片转码压缩平台 V1.0（1套，在保）。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二、服务需求</w:t>
            </w:r>
          </w:p>
          <w:p>
            <w:pPr>
              <w:pStyle w:val="null3"/>
              <w:jc w:val="left"/>
            </w:pPr>
            <w:r>
              <w:rPr>
                <w:rFonts w:ascii="仿宋_GB2312" w:hAnsi="仿宋_GB2312" w:cs="仿宋_GB2312" w:eastAsia="仿宋_GB2312"/>
                <w:sz w:val="20"/>
              </w:rPr>
              <w:t>（一）机房环境运维服务</w:t>
            </w:r>
          </w:p>
          <w:p>
            <w:pPr>
              <w:pStyle w:val="null3"/>
              <w:jc w:val="left"/>
            </w:pPr>
            <w:r>
              <w:rPr>
                <w:rFonts w:ascii="仿宋_GB2312" w:hAnsi="仿宋_GB2312" w:cs="仿宋_GB2312" w:eastAsia="仿宋_GB2312"/>
                <w:sz w:val="20"/>
              </w:rPr>
              <w:t>供应商派驻场运维工程师提供</w:t>
            </w:r>
            <w:r>
              <w:rPr>
                <w:rFonts w:ascii="仿宋_GB2312" w:hAnsi="仿宋_GB2312" w:cs="仿宋_GB2312" w:eastAsia="仿宋_GB2312"/>
                <w:sz w:val="20"/>
              </w:rPr>
              <w:t>7天*24小时机房环境运行情况现场巡检和实时监控服务，通过驻场运维工程师现场巡检和系统实时监控、预警的方式，对UPS、列头柜、STS等机房供配电系统和精密空调、模块化一体机房内的行间空调以及机房内的温湿度等运行情况进行现场巡检、实时监测和预警。常规时期现场巡检每天不少于2次；特殊时期，如电力故障或重保时期，现场巡检每天不少于4次，并做好每日巡检记录。如脱保精密空调出现故障，需及时派工程师处理，确保机房环境运行稳定。采购人只承担精密空调设备（压缩机、风机、电机、干燥器、控制面板、蒸发器）的维修和更换费用，其余维护范围内的配件和材料费用由供应商承担。如出现其他故障应及时协助省中心协调相关厂商进行维修，并做好事件记录和故障报告。</w:t>
            </w:r>
          </w:p>
          <w:p>
            <w:pPr>
              <w:pStyle w:val="null3"/>
              <w:jc w:val="left"/>
            </w:pPr>
            <w:r>
              <w:rPr>
                <w:rFonts w:ascii="仿宋_GB2312" w:hAnsi="仿宋_GB2312" w:cs="仿宋_GB2312" w:eastAsia="仿宋_GB2312"/>
                <w:sz w:val="20"/>
              </w:rPr>
              <w:t>（二）网络设施运维需求</w:t>
            </w:r>
          </w:p>
          <w:p>
            <w:pPr>
              <w:pStyle w:val="null3"/>
              <w:jc w:val="left"/>
            </w:pPr>
            <w:r>
              <w:rPr>
                <w:rFonts w:ascii="仿宋_GB2312" w:hAnsi="仿宋_GB2312" w:cs="仿宋_GB2312" w:eastAsia="仿宋_GB2312"/>
                <w:sz w:val="20"/>
              </w:rPr>
              <w:t>供应商从平台网络的运行监控、故障响应、定期巡检、配置和资源管理和接入支持几个方面实现对网络系统的运维管理：每日不少于</w:t>
            </w:r>
            <w:r>
              <w:rPr>
                <w:rFonts w:ascii="仿宋_GB2312" w:hAnsi="仿宋_GB2312" w:cs="仿宋_GB2312" w:eastAsia="仿宋_GB2312"/>
                <w:sz w:val="20"/>
              </w:rPr>
              <w:t>4次（节假日及特殊时期不少于6次）通过现场巡查的方式对机房网络硬件设备的物理运行状态进行巡检；7*24小时实时通过网管平台对网络节点设备硬件资源进行实时状态监控，包括CPU/内存利用率、端口状态、接口带宽使用情况和设备网络连接状态等；每日不少于2次（节假日及特殊时期不少于3次），对关键网络设备节点配置信息进行配置状态检查，包括主备状态、关键静态路由指向等；每季度采集网络设备信息，对网络的运行和维护现状进行检查和分析，包括网络性能、设备日志、设备配置信息等，梳理网络隐患，提供整改建议，提交《网络设备季度巡检报告》；按需完成网络接入支持。当网络发生故障时协助中心快速分析、诊断、解决故障，跟踪问题的处理进展，将事件类型、过程、解决方案等记录在《故障报告》中并提交省中心。每半年根据网络资产清单和现网实际情况，建立《网络配置信息库》；每月对网络配置文件进行备份及存档。每年进行一次网络评估优化，对联网收费支撑平台现有网络的基础架构、技术架构、业务流量承载、基础服务能力等各方面进行综合评估分析。</w:t>
            </w:r>
          </w:p>
          <w:p>
            <w:pPr>
              <w:pStyle w:val="null3"/>
              <w:jc w:val="left"/>
            </w:pPr>
            <w:r>
              <w:rPr>
                <w:rFonts w:ascii="仿宋_GB2312" w:hAnsi="仿宋_GB2312" w:cs="仿宋_GB2312" w:eastAsia="仿宋_GB2312"/>
                <w:sz w:val="20"/>
              </w:rPr>
              <w:t>（三）计算资源运维服务</w:t>
            </w:r>
          </w:p>
          <w:p>
            <w:pPr>
              <w:pStyle w:val="null3"/>
              <w:jc w:val="left"/>
            </w:pPr>
            <w:r>
              <w:rPr>
                <w:rFonts w:ascii="仿宋_GB2312" w:hAnsi="仿宋_GB2312" w:cs="仿宋_GB2312" w:eastAsia="仿宋_GB2312"/>
                <w:sz w:val="20"/>
              </w:rPr>
              <w:t>本次运维服务的计算资源包括物理主机与虚拟主机的运维。供应商每日不少于</w:t>
            </w:r>
            <w:r>
              <w:rPr>
                <w:rFonts w:ascii="仿宋_GB2312" w:hAnsi="仿宋_GB2312" w:cs="仿宋_GB2312" w:eastAsia="仿宋_GB2312"/>
                <w:sz w:val="20"/>
              </w:rPr>
              <w:t>4次（节假日及特殊时期不少于6次）通过现场巡查的方式对机房硬件设备的物理运行状态进行巡检，每日不少于4次（节假日及特殊时期不少于6次），进行主机资源运行监控，巡检物理主机、虚拟主机运行状态，实时监控计算资源池资源分配及使用情况；按要求进行虚拟机日常管理、快照及备份管理、网络资源管理、计算资源管理以及镜像管理。每半年对计算资源主机设备进行资产管理，清点主机设备资产，建立并维护资产清单。</w:t>
            </w:r>
          </w:p>
          <w:p>
            <w:pPr>
              <w:pStyle w:val="null3"/>
              <w:jc w:val="left"/>
            </w:pPr>
            <w:r>
              <w:rPr>
                <w:rFonts w:ascii="仿宋_GB2312" w:hAnsi="仿宋_GB2312" w:cs="仿宋_GB2312" w:eastAsia="仿宋_GB2312"/>
                <w:sz w:val="20"/>
              </w:rPr>
              <w:t>（四）存储运维服务</w:t>
            </w:r>
          </w:p>
          <w:p>
            <w:pPr>
              <w:pStyle w:val="null3"/>
              <w:jc w:val="left"/>
            </w:pPr>
            <w:r>
              <w:rPr>
                <w:rFonts w:ascii="仿宋_GB2312" w:hAnsi="仿宋_GB2312" w:cs="仿宋_GB2312" w:eastAsia="仿宋_GB2312"/>
                <w:sz w:val="20"/>
              </w:rPr>
              <w:t>供应商通过对联网收费业务支撑平台的全闪存储资源池、混合存储资源池、非结构化存储资源池和备份存储资源池的存储设备采取硬件巡查方式，每日不少于</w:t>
            </w:r>
            <w:r>
              <w:rPr>
                <w:rFonts w:ascii="仿宋_GB2312" w:hAnsi="仿宋_GB2312" w:cs="仿宋_GB2312" w:eastAsia="仿宋_GB2312"/>
                <w:sz w:val="20"/>
              </w:rPr>
              <w:t>4次（节假日及特殊时期不少于6次）进行现场巡查，对机房存储硬件设备的物理运行状态进行巡检；每日不少于4次（节假日及特殊时期不少于6次）进行存储运行监控，对存储资源池运行状态进行检查和监控，同时实时监控虚拟存储资源池IOPS性能、带宽、延迟、数据状态、健康状态、告警情况等；每日不少于1次统计全闪存储、混合存储、非结构化存储、备份存储等资源池空间使用情况；每半年进行存储主机设备资产管理、主机设备资产清点，建立并维护资产清单。</w:t>
            </w:r>
          </w:p>
          <w:p>
            <w:pPr>
              <w:pStyle w:val="null3"/>
              <w:jc w:val="left"/>
            </w:pPr>
            <w:r>
              <w:rPr>
                <w:rFonts w:ascii="仿宋_GB2312" w:hAnsi="仿宋_GB2312" w:cs="仿宋_GB2312" w:eastAsia="仿宋_GB2312"/>
                <w:sz w:val="20"/>
              </w:rPr>
              <w:t>（五）基础软件运维服务</w:t>
            </w:r>
          </w:p>
          <w:p>
            <w:pPr>
              <w:pStyle w:val="null3"/>
              <w:jc w:val="left"/>
            </w:pPr>
            <w:r>
              <w:rPr>
                <w:rFonts w:ascii="仿宋_GB2312" w:hAnsi="仿宋_GB2312" w:cs="仿宋_GB2312" w:eastAsia="仿宋_GB2312"/>
                <w:sz w:val="20"/>
              </w:rPr>
              <w:t>供应商每半年进行软件资产梳理，将基础软件资产记录在资产清单中；每日不少于</w:t>
            </w:r>
            <w:r>
              <w:rPr>
                <w:rFonts w:ascii="仿宋_GB2312" w:hAnsi="仿宋_GB2312" w:cs="仿宋_GB2312" w:eastAsia="仿宋_GB2312"/>
                <w:sz w:val="20"/>
              </w:rPr>
              <w:t>1次进行本地数据备份执行情况监控，按需制定和改进本地数据备份策略和方案；每季度进行虚拟化系统、分布式存储系统、备份系统的预防性维护和定期巡检服务。</w:t>
            </w:r>
          </w:p>
          <w:p>
            <w:pPr>
              <w:pStyle w:val="null3"/>
              <w:jc w:val="center"/>
            </w:pPr>
            <w:r>
              <w:rPr>
                <w:rFonts w:ascii="仿宋_GB2312" w:hAnsi="仿宋_GB2312" w:cs="仿宋_GB2312" w:eastAsia="仿宋_GB2312"/>
                <w:sz w:val="20"/>
                <w:b/>
              </w:rPr>
              <w:t>陕西省高速公路联网收费业务支撑平台运维服务内容</w:t>
            </w:r>
          </w:p>
          <w:p>
            <w:pPr>
              <w:pStyle w:val="null3"/>
              <w:jc w:val="left"/>
            </w:pPr>
            <w:r>
              <w:rPr>
                <w:rFonts w:ascii="仿宋_GB2312" w:hAnsi="仿宋_GB2312" w:cs="仿宋_GB2312" w:eastAsia="仿宋_GB2312"/>
                <w:sz w:val="20"/>
              </w:rPr>
              <w:t>1、机房环境运维服务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机房温湿度监控：通过动环系统对机房温度和湿度进行巡检、记录；异常情况，应第一时间报告采购人，并按实际情况进行处理。确有需要的，协调厂商进行故障排查和维修。提交《巡检报告》、《服务事件记录》、《故障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机房供配电运行监控：通过现场巡检和动环系统监控的方式对机房供配电系统运行情况进行巡检、监控；异常情况，应第一时间报告采购人，并按实际情况进行处理。确有需要的，协调厂商进行故障排查和维修。提交《巡检报告》、《服务事件记录》、《故障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机房空调运行监控：采用现场巡检和动环系统监控的方式对机房空调系统的运行情况巡检、监控；异常情况，应第一时间报告采购人，并按实际情况进行处理。确有需要的，协调厂商进行故障排查和维修。提交《巡检报告》《服务事件记录》《故障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4）机房出入管理：管理和记录人员进出机房情况。提交《机房出入记录》。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机房资产管理：每半年对机房硬件资产进行盘点、标识，建立并维护资产清单，包含资产标识、设备板位图、设备互联详细端口信息、IP&amp;VLAN信息接口链路对应关系、物理连接拓扑图等。机房资产有变动时，应及时对资产清单进行动态更新。提交《资产清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机房空调维保：每月至少一次对精密空调进行状态检查排查故障并记录，每季度至少一次更换和清洗空调滤网，每两月至少一次清洗室外机。异常情况，应第一时间报告采购人，并按实际情况进行处理。确有需要的，协调厂商进行故障排查和维修。提交《巡检报告》《服务事件记录》《故障报告》。</w:t>
            </w:r>
          </w:p>
          <w:p>
            <w:pPr>
              <w:pStyle w:val="null3"/>
              <w:jc w:val="left"/>
            </w:pPr>
            <w:r>
              <w:rPr>
                <w:rFonts w:ascii="仿宋_GB2312" w:hAnsi="仿宋_GB2312" w:cs="仿宋_GB2312" w:eastAsia="仿宋_GB2312"/>
                <w:sz w:val="20"/>
              </w:rPr>
              <w:t>2、网络设施运维服务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网络设备硬件巡检：通过现场巡查的方式对机房网络硬件设备的物理运行状态进行巡检、记录。异常情况，应第一时间报告采购人，并按实际情况进行处理。确有需要的，协调厂商进行故障排查和维修。提交《巡检报告》《服务事件记录》《故障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网络运行监控：通过相关工具对网络节点设备硬件资源提供实时状态监控，包括CPU/内存利用率、端口状态、接口带宽使用情况和设备网络连接状态等，及时掌握设备硬件资源使用情况和网络的连通性。对关键网络设备节点配置信息进行每天至少2次配置状态检查，包括主备状态、关键静态路由指向等，及时掌握关键配置信息应用情况，以满足设备稳定运行的需求。提交《日常运行监控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3）网络定期巡检：采用相关工具采集网络设备信息，每季度至少1次对网络的运行和维护现状进行检查和分析包括网络性能、设备日志、设备配置信息等，梳理网络隐患，提供整改建议，提交《定期巡检报告》。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网络接入支持：在相关网络有变更需求，协助采购人制定详细的网络变更方案，从业务和管理运维角度进行风险分析，确认变更风险点、影响范围，并针对风险制定有效防范措施；审核变更实施操作的准确性、验证测试方案的完整性和应急回退预案的有效性；网络接入的实施、配置，完整记录每一步操作，并完成接入后的测试工作；变更过程中如遇疑难问题须得到二线技术专家团队的技术支持。提交《网络接入/变更方案》《网络接入/变更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5）网络故障响应：网络故障时应协助采购人快速分析、诊断、解决故障，跟踪问题的处理进展并定期回顾；将故障处理的事件类型、过程、解决方案等进行记录并提交《服务事件记录》《故障报告》。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网络配置和资源管理：根据网络资产清单和现网实际情况，建立《网络配置信息库》，内容包括资产名称、IP地址、Vlan、路由信息、端口信息、账户信息等配置信息管理，在网络设备配置信息发生变更后及时更新网络配置信息库，确保配置库的准确性、一致性。提交《网络配置信息库》。</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7）网络配置文件备份及存档：对关键网络设备配置信息每月至少1次进行备份，并将备份文件按照规范的命名存档至备份目录。提交《网络配置文件记录》。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网络评估优化：实地对维护平台现有网络基础架构、技术架构、业务流量承载、基础服务能力等各方面进行综合评估分析，结合联网收费的业务部署及发展需求，分析网络的运营及支撑能力能否达到发展要求。同时依据现网状况和业务需求的分析结果，对架构规划、协议规划、配置参数等内容提出《网络优化建议方案》。</w:t>
            </w:r>
          </w:p>
          <w:p>
            <w:pPr>
              <w:pStyle w:val="null3"/>
              <w:jc w:val="left"/>
            </w:pPr>
            <w:r>
              <w:rPr>
                <w:rFonts w:ascii="仿宋_GB2312" w:hAnsi="仿宋_GB2312" w:cs="仿宋_GB2312" w:eastAsia="仿宋_GB2312"/>
                <w:sz w:val="20"/>
              </w:rPr>
              <w:t>3、计算资源运维服务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主机设备硬件巡检：现场巡查的方式对机房主机硬件设备的物理运行状态进行巡检、记录。异常情况，应第一时间报告采购人，并按实际情况进行处理。确有需要的，协调厂商进行故障排查和维修。提交《巡检报告》《服务事件记录》《故障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主机资源运行监控：物理主机、虚拟主机运行状态检查、监控及预警。包括但不限于：物理主机CPU、内存、磁盘、网络的实时监控；虚拟机CPU、内存、磁盘IO、网络IO的实时监控；虚拟化管理机CPU、内存、磁盘IO负荷、网络IO负荷、网络链路状态的实时监控；计算资源池资源分配及使用情况实时监控。提交《巡检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虚机日常管理：虚拟机申请，根据申请要求的规格以及相关安全制度和要求，制作并开通符合申请需要的虚拟机。虚拟机变更，包括虚拟机的迁移、虚拟机规格升高/降低。虚拟机销毁/回收，对虚拟机进行回收，将到期或用户确认不再使用的虚拟机进行销毁，并将相关资源回收到资源池中。虚拟机维护，对用户正在使用的虚拟机的运行过程进行维护，包括故障恢复、性能调优等。提交《计算资源操作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4）主机故障响应：第一时间处理做好主机故障响应、排查、诊断和处理工作。提交《服务事件记录》《故障报告》。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5）虚机镜像管理：根据需求制作虚机镜像模板及对镜像的维护管理，包括镜像升级、补丁修复、配置更改等。提交《计算资源操作记录》。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6）虚拟网络配置管理：根据业务需求对虚拟网络资源的网络配置信息进行变更、维护管理。提交《计算资源操作记录》。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虚机快照/备份管理：根据业务要求对指定虚拟机进行快照操作；对重要业务虚拟机进行定期备份，备份方式为全量+增量，每月至少1次全量，每天至少1次增量，每季度至少1次恢复验证测试。提交《计算资源操作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8）主机设备维修管理：根据需要对发生故障的硬件设备协助采购人协调相关厂商进行维修或更换。提交《故障报告》《设备维修更换记录》。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9）主机设备资产管理：每年至少两次对主机设备资产清点、标识，建立并维护资产清单。提交《资产清单》。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10）计算资源使用管理：对计算资源硬件配置和虚拟配置资源使用情况进行管理并记录，提交《计算资源使用记录》。</w:t>
            </w:r>
          </w:p>
          <w:p>
            <w:pPr>
              <w:pStyle w:val="null3"/>
              <w:jc w:val="left"/>
            </w:pPr>
            <w:r>
              <w:rPr>
                <w:rFonts w:ascii="仿宋_GB2312" w:hAnsi="仿宋_GB2312" w:cs="仿宋_GB2312" w:eastAsia="仿宋_GB2312"/>
                <w:sz w:val="20"/>
              </w:rPr>
              <w:t>4、存储运维服务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存储设备硬件巡检：每天不少于4次对机房存储硬件设备物理运行状态进行现场巡检并记录。异常情况，应第一时间报告采购人，并按实际情况进行处理。确有需要的，协调厂商进行故障排查和维修。提交《巡检报告》、《服务事件记录》、《故障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存储运行监控：对存储资源池运行状态进行检查、监控，对异常情况能及时发现并告警。包括但不限于：存储资源物理设备CPU、内存、磁盘等实时监控；虚拟存储资源池IOPS性能、带宽、延迟、数据状态、健康状态、告警等实时监控；存储资源池容量分配与空间使用情况的实时监控。提交《巡检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存储资源管理：根据业务要求对存储资源按需进行分配；每天统计全闪存储、混合存储、非结构化存储、备份存储等资源池空间使用情况；每周不少于一次对非结构化数据资源池进行历史数据删除，释放存储空间。《提交存储资源使用、操作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4）存储故障响应：第一时间对存储故障进行响应、排查、诊断和处理。提交《服务事件记录》《故障报告》。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5）存储设备维修管理：根据需要对发生故障的硬件设备协助采购人协调相关厂商进行维修或更换。提交《故障报告》《设备维修更换记录》。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6）存储设备资产管理：每年至少两次对存储设备资产清点、标识，建立并维护资产清单。提交《资产清单》。</w:t>
            </w:r>
          </w:p>
          <w:p>
            <w:pPr>
              <w:pStyle w:val="null3"/>
              <w:jc w:val="left"/>
            </w:pPr>
            <w:r>
              <w:rPr>
                <w:rFonts w:ascii="仿宋_GB2312" w:hAnsi="仿宋_GB2312" w:cs="仿宋_GB2312" w:eastAsia="仿宋_GB2312"/>
                <w:sz w:val="20"/>
              </w:rPr>
              <w:t>5、基础软件运维服务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1）软件资产管理：每年不少于两次对基础软件资产清点、标识，建立并维护资产清单。提交《资产清单》。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2）数据备份管理：制定和改进本地数据备份策略和方案，监控检查本地数据备份的执行情况。提交《数据备份计划》《巡检报告》。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预防性维护服务：对虚拟化系统、分布式存储系统、备份系统开展每季度不少于1次的预防性巡检服务，服务内容主要包括软件状态检查、系统日志分析、系统诊断、系统运行情况、性能分析等，梳理运行隐患，提交《定期巡检报告》。</w:t>
            </w:r>
          </w:p>
          <w:p>
            <w:pPr>
              <w:pStyle w:val="null3"/>
            </w:pPr>
            <w:r>
              <w:rPr>
                <w:rFonts w:ascii="仿宋_GB2312" w:hAnsi="仿宋_GB2312" w:cs="仿宋_GB2312" w:eastAsia="仿宋_GB2312"/>
                <w:sz w:val="20"/>
              </w:rPr>
              <w:t>（</w:t>
            </w:r>
            <w:r>
              <w:rPr>
                <w:rFonts w:ascii="仿宋_GB2312" w:hAnsi="仿宋_GB2312" w:cs="仿宋_GB2312" w:eastAsia="仿宋_GB2312"/>
                <w:sz w:val="20"/>
              </w:rPr>
              <w:t>4）技术支持服务：提供虚拟化系统、分布式存储系统、备份系统的二线技术支持响应服务，包括系统错误信息分析及故障诊断以及必要的现场技术支持服务。提交《服务事件记录》《故障报告》。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三、服务要求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服务</w:t>
            </w:r>
            <w:r>
              <w:rPr>
                <w:rFonts w:ascii="仿宋_GB2312" w:hAnsi="仿宋_GB2312" w:cs="仿宋_GB2312" w:eastAsia="仿宋_GB2312"/>
                <w:sz w:val="20"/>
              </w:rPr>
              <w:t>人员要求</w:t>
            </w:r>
          </w:p>
          <w:p>
            <w:pPr>
              <w:pStyle w:val="null3"/>
              <w:jc w:val="both"/>
            </w:pPr>
            <w:r>
              <w:rPr>
                <w:rFonts w:ascii="仿宋_GB2312" w:hAnsi="仿宋_GB2312" w:cs="仿宋_GB2312" w:eastAsia="仿宋_GB2312"/>
                <w:sz w:val="20"/>
              </w:rPr>
              <w:t>服务供应商应针对本项目成立专门的运维团队，明确运维团队的组织、人员、岗位职责、工作流程等，并派驻专业的运维人员在中心驻场服务，提供</w:t>
            </w:r>
            <w:r>
              <w:rPr>
                <w:rFonts w:ascii="仿宋_GB2312" w:hAnsi="仿宋_GB2312" w:cs="仿宋_GB2312" w:eastAsia="仿宋_GB2312"/>
                <w:sz w:val="20"/>
              </w:rPr>
              <w:t>7×24小时值守、日常运维操作、故障响应处理、运行状况分析、应急保障等运维服务。</w:t>
            </w:r>
          </w:p>
          <w:p>
            <w:pPr>
              <w:pStyle w:val="null3"/>
              <w:jc w:val="both"/>
            </w:pPr>
            <w:r>
              <w:rPr>
                <w:rFonts w:ascii="仿宋_GB2312" w:hAnsi="仿宋_GB2312" w:cs="仿宋_GB2312" w:eastAsia="仿宋_GB2312"/>
                <w:sz w:val="20"/>
              </w:rPr>
              <w:t>（二）服务时间要求</w:t>
            </w:r>
          </w:p>
          <w:p>
            <w:pPr>
              <w:pStyle w:val="null3"/>
              <w:jc w:val="both"/>
            </w:pPr>
            <w:r>
              <w:rPr>
                <w:rFonts w:ascii="仿宋_GB2312" w:hAnsi="仿宋_GB2312" w:cs="仿宋_GB2312" w:eastAsia="仿宋_GB2312"/>
                <w:sz w:val="20"/>
              </w:rPr>
              <w:t>本项目运维服务时间要求为</w:t>
            </w:r>
            <w:r>
              <w:rPr>
                <w:rFonts w:ascii="仿宋_GB2312" w:hAnsi="仿宋_GB2312" w:cs="仿宋_GB2312" w:eastAsia="仿宋_GB2312"/>
                <w:sz w:val="20"/>
              </w:rPr>
              <w:t>2026年7月1日至2027年6月30日，服务期内7*24小时服务。</w:t>
            </w:r>
          </w:p>
          <w:p>
            <w:pPr>
              <w:pStyle w:val="null3"/>
              <w:jc w:val="both"/>
            </w:pPr>
            <w:r>
              <w:rPr>
                <w:rFonts w:ascii="仿宋_GB2312" w:hAnsi="仿宋_GB2312" w:cs="仿宋_GB2312" w:eastAsia="仿宋_GB2312"/>
                <w:sz w:val="20"/>
              </w:rPr>
              <w:t>（三）服务方式要求</w:t>
            </w:r>
          </w:p>
          <w:p>
            <w:pPr>
              <w:pStyle w:val="null3"/>
              <w:jc w:val="both"/>
            </w:pPr>
            <w:r>
              <w:rPr>
                <w:rFonts w:ascii="仿宋_GB2312" w:hAnsi="仿宋_GB2312" w:cs="仿宋_GB2312" w:eastAsia="仿宋_GB2312"/>
                <w:sz w:val="20"/>
              </w:rPr>
              <w:t>本项目运维服务方式要求采用</w:t>
            </w:r>
            <w:r>
              <w:rPr>
                <w:rFonts w:ascii="仿宋_GB2312" w:hAnsi="仿宋_GB2312" w:cs="仿宋_GB2312" w:eastAsia="仿宋_GB2312"/>
                <w:sz w:val="20"/>
              </w:rPr>
              <w:t>7*24小时驻场服务和5*8小时现场技术支持相结合的方式。针对不同专业和服务内容采用灵活的服务方式。</w:t>
            </w:r>
          </w:p>
          <w:p>
            <w:pPr>
              <w:pStyle w:val="null3"/>
              <w:jc w:val="both"/>
            </w:pPr>
            <w:r>
              <w:rPr>
                <w:rFonts w:ascii="仿宋_GB2312" w:hAnsi="仿宋_GB2312" w:cs="仿宋_GB2312" w:eastAsia="仿宋_GB2312"/>
                <w:sz w:val="20"/>
              </w:rPr>
              <w:t>1.驻场服务</w:t>
            </w:r>
          </w:p>
          <w:p>
            <w:pPr>
              <w:pStyle w:val="null3"/>
              <w:jc w:val="both"/>
            </w:pPr>
            <w:r>
              <w:rPr>
                <w:rFonts w:ascii="仿宋_GB2312" w:hAnsi="仿宋_GB2312" w:cs="仿宋_GB2312" w:eastAsia="仿宋_GB2312"/>
                <w:sz w:val="20"/>
              </w:rPr>
              <w:t>须在采购人现场安排值班工程师进行</w:t>
            </w:r>
            <w:r>
              <w:rPr>
                <w:rFonts w:ascii="仿宋_GB2312" w:hAnsi="仿宋_GB2312" w:cs="仿宋_GB2312" w:eastAsia="仿宋_GB2312"/>
                <w:sz w:val="20"/>
              </w:rPr>
              <w:t>7*24小时驻场服务，执行日常运维服务工作，以确保随时能够处理紧急事件。周一至周五（法定正常工作日）除安排7*24小时值班工程师外，还需安排技术工程师进行5*8小时驻场服务，执行运维分析、处置、优化等服务工作。</w:t>
            </w:r>
          </w:p>
          <w:p>
            <w:pPr>
              <w:pStyle w:val="null3"/>
              <w:jc w:val="both"/>
            </w:pPr>
            <w:r>
              <w:rPr>
                <w:rFonts w:ascii="仿宋_GB2312" w:hAnsi="仿宋_GB2312" w:cs="仿宋_GB2312" w:eastAsia="仿宋_GB2312"/>
                <w:sz w:val="20"/>
              </w:rPr>
              <w:t>2.现场技术支持</w:t>
            </w:r>
          </w:p>
          <w:p>
            <w:pPr>
              <w:pStyle w:val="null3"/>
              <w:jc w:val="both"/>
            </w:pPr>
            <w:r>
              <w:rPr>
                <w:rFonts w:ascii="仿宋_GB2312" w:hAnsi="仿宋_GB2312" w:cs="仿宋_GB2312" w:eastAsia="仿宋_GB2312"/>
                <w:sz w:val="20"/>
              </w:rPr>
              <w:t>根据联网收费支撑平台维护的专业性和实际维护需求，当发生紧急事件或驻场工程师无法解决的问题，二线技术专家通过远程或到达现场的方式提供技术支持服务。</w:t>
            </w:r>
          </w:p>
          <w:p>
            <w:pPr>
              <w:pStyle w:val="null3"/>
              <w:jc w:val="both"/>
            </w:pPr>
            <w:r>
              <w:rPr>
                <w:rFonts w:ascii="仿宋_GB2312" w:hAnsi="仿宋_GB2312" w:cs="仿宋_GB2312" w:eastAsia="仿宋_GB2312"/>
                <w:sz w:val="20"/>
              </w:rPr>
              <w:t>（四）服务响应要求</w:t>
            </w:r>
          </w:p>
          <w:p>
            <w:pPr>
              <w:pStyle w:val="null3"/>
              <w:jc w:val="both"/>
            </w:pPr>
            <w:r>
              <w:rPr>
                <w:rFonts w:ascii="仿宋_GB2312" w:hAnsi="仿宋_GB2312" w:cs="仿宋_GB2312" w:eastAsia="仿宋_GB2312"/>
                <w:sz w:val="20"/>
              </w:rPr>
              <w:t>在服务期内，供应商须提供</w:t>
            </w:r>
            <w:r>
              <w:rPr>
                <w:rFonts w:ascii="仿宋_GB2312" w:hAnsi="仿宋_GB2312" w:cs="仿宋_GB2312" w:eastAsia="仿宋_GB2312"/>
                <w:sz w:val="20"/>
              </w:rPr>
              <w:t>7*24小时驻场服务，工作日5*8小时内应在10分钟内响应故障，2小时内提出故障解决方案；其他时间应在30分钟内响应故障，4小时内提出故障解决方案。</w:t>
            </w:r>
          </w:p>
          <w:p>
            <w:pPr>
              <w:pStyle w:val="null3"/>
              <w:jc w:val="both"/>
            </w:pPr>
            <w:r>
              <w:rPr>
                <w:rFonts w:ascii="仿宋_GB2312" w:hAnsi="仿宋_GB2312" w:cs="仿宋_GB2312" w:eastAsia="仿宋_GB2312"/>
                <w:sz w:val="20"/>
              </w:rPr>
              <w:t>（五）监控与巡检管理要求</w:t>
            </w:r>
          </w:p>
          <w:p>
            <w:pPr>
              <w:pStyle w:val="null3"/>
              <w:jc w:val="both"/>
            </w:pPr>
            <w:r>
              <w:rPr>
                <w:rFonts w:ascii="仿宋_GB2312" w:hAnsi="仿宋_GB2312" w:cs="仿宋_GB2312" w:eastAsia="仿宋_GB2312"/>
                <w:sz w:val="20"/>
              </w:rPr>
              <w:t>为达到高速公路联网收费业务支撑平台运维管理的可用性目标，对平台进行统一监控、定期巡检及时发现问题，确保平台</w:t>
            </w:r>
            <w:r>
              <w:rPr>
                <w:rFonts w:ascii="仿宋_GB2312" w:hAnsi="仿宋_GB2312" w:cs="仿宋_GB2312" w:eastAsia="仿宋_GB2312"/>
                <w:sz w:val="20"/>
              </w:rPr>
              <w:t>7*24小时稳定可靠运行。监控与巡检管理总体要求如下：</w:t>
            </w:r>
          </w:p>
          <w:p>
            <w:pPr>
              <w:pStyle w:val="null3"/>
              <w:jc w:val="both"/>
            </w:pPr>
            <w:r>
              <w:rPr>
                <w:rFonts w:ascii="仿宋_GB2312" w:hAnsi="仿宋_GB2312" w:cs="仿宋_GB2312" w:eastAsia="仿宋_GB2312"/>
                <w:sz w:val="20"/>
              </w:rPr>
              <w:t>1.针对机房环境、网络、计算、存储和虚拟层等各系统的不同特点，制定详细完整的常规巡检制度及检查/监控规程，确保平台的高效可用性。</w:t>
            </w:r>
          </w:p>
          <w:p>
            <w:pPr>
              <w:pStyle w:val="null3"/>
              <w:jc w:val="both"/>
            </w:pPr>
            <w:r>
              <w:rPr>
                <w:rFonts w:ascii="仿宋_GB2312" w:hAnsi="仿宋_GB2312" w:cs="仿宋_GB2312" w:eastAsia="仿宋_GB2312"/>
                <w:sz w:val="20"/>
              </w:rPr>
              <w:t>2.每天由值班工作人员进行检查。机房环境常规时期每天现场巡检不少于2次，特殊时期每天现场巡检不少于4次；平台软硬件运行情况常规时期每天现场巡检不少于4次，特殊时期每天现场巡检不少于6次，做好每日巡检记录，确保平台的正常运行。</w:t>
            </w:r>
          </w:p>
          <w:p>
            <w:pPr>
              <w:pStyle w:val="null3"/>
              <w:jc w:val="both"/>
            </w:pPr>
            <w:r>
              <w:rPr>
                <w:rFonts w:ascii="仿宋_GB2312" w:hAnsi="仿宋_GB2312" w:cs="仿宋_GB2312" w:eastAsia="仿宋_GB2312"/>
                <w:sz w:val="20"/>
              </w:rPr>
              <w:t>3.出现告警时，应由值班人员负责判断故障是否升级以及进行故障排除。对于路网运行监测系统所产生的告警，值班工作人员应按照事件处理流程，做统一记录、进行故障上报和处理。</w:t>
            </w:r>
          </w:p>
          <w:p>
            <w:pPr>
              <w:pStyle w:val="null3"/>
              <w:jc w:val="both"/>
            </w:pPr>
            <w:r>
              <w:rPr>
                <w:rFonts w:ascii="仿宋_GB2312" w:hAnsi="仿宋_GB2312" w:cs="仿宋_GB2312" w:eastAsia="仿宋_GB2312"/>
                <w:sz w:val="20"/>
              </w:rPr>
              <w:t>4.对维护范围内的网络设施、计算、存储和备份资源提供至少每季度一次的系统性巡检，提交巡检报告。通过系统健康检查对系统运行的潜在问题进行深入检查，排查隐患、分析系统性能，并提出解决建议。</w:t>
            </w:r>
          </w:p>
          <w:p>
            <w:pPr>
              <w:pStyle w:val="null3"/>
              <w:jc w:val="both"/>
            </w:pPr>
            <w:r>
              <w:rPr>
                <w:rFonts w:ascii="仿宋_GB2312" w:hAnsi="仿宋_GB2312" w:cs="仿宋_GB2312" w:eastAsia="仿宋_GB2312"/>
                <w:sz w:val="20"/>
              </w:rPr>
              <w:t>5.针对各种维护操作制定相应的岗位职责及管理制度，并通过事后的监督审核确保各项操作得到可靠地执行。</w:t>
            </w:r>
          </w:p>
          <w:p>
            <w:pPr>
              <w:pStyle w:val="null3"/>
              <w:jc w:val="both"/>
            </w:pPr>
            <w:r>
              <w:rPr>
                <w:rFonts w:ascii="仿宋_GB2312" w:hAnsi="仿宋_GB2312" w:cs="仿宋_GB2312" w:eastAsia="仿宋_GB2312"/>
                <w:sz w:val="20"/>
              </w:rPr>
              <w:t>（六）关键时刻保障服务</w:t>
            </w:r>
          </w:p>
          <w:p>
            <w:pPr>
              <w:pStyle w:val="null3"/>
              <w:jc w:val="both"/>
            </w:pPr>
            <w:r>
              <w:rPr>
                <w:rFonts w:ascii="仿宋_GB2312" w:hAnsi="仿宋_GB2312" w:cs="仿宋_GB2312" w:eastAsia="仿宋_GB2312"/>
                <w:sz w:val="20"/>
              </w:rPr>
              <w:t>针对关键时刻，如重大节假日、重要活动等，驻场工程师将与省中心沟通，制定关键时刻保障计划，加大日巡检次数和重保前平台健康检查和隐患排查，有效应对关键时期的各种突发事件。</w:t>
            </w:r>
          </w:p>
          <w:p>
            <w:pPr>
              <w:pStyle w:val="null3"/>
              <w:jc w:val="both"/>
            </w:pPr>
            <w:r>
              <w:rPr>
                <w:rFonts w:ascii="仿宋_GB2312" w:hAnsi="仿宋_GB2312" w:cs="仿宋_GB2312" w:eastAsia="仿宋_GB2312"/>
                <w:sz w:val="20"/>
              </w:rPr>
              <w:t>（七）培训要求</w:t>
            </w:r>
          </w:p>
          <w:p>
            <w:pPr>
              <w:pStyle w:val="null3"/>
              <w:jc w:val="both"/>
            </w:pPr>
            <w:r>
              <w:rPr>
                <w:rFonts w:ascii="仿宋_GB2312" w:hAnsi="仿宋_GB2312" w:cs="仿宋_GB2312" w:eastAsia="仿宋_GB2312"/>
                <w:sz w:val="20"/>
              </w:rPr>
              <w:t>在服务期内，针对运维岗位人员要求，对运维服务人员组织定期培训，提供系统性的原理和技术性能、操作维护方法、安装调测、排除故障等各个方面的培训，以确保运维服务人员具备相应的服务能力，能够持续满足运维服务要求。为确保培训过程最终能够满足以上要求，需通过考试来验证和保证培训效果。</w:t>
            </w:r>
          </w:p>
          <w:p>
            <w:pPr>
              <w:pStyle w:val="null3"/>
              <w:jc w:val="both"/>
            </w:pPr>
            <w:r>
              <w:rPr>
                <w:rFonts w:ascii="仿宋_GB2312" w:hAnsi="仿宋_GB2312" w:cs="仿宋_GB2312" w:eastAsia="仿宋_GB2312"/>
                <w:sz w:val="20"/>
              </w:rPr>
              <w:t>（八）网络安全要求</w:t>
            </w:r>
          </w:p>
          <w:p>
            <w:pPr>
              <w:pStyle w:val="null3"/>
              <w:jc w:val="both"/>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按照要求签署网络安全责任协议。</w:t>
            </w:r>
          </w:p>
          <w:p>
            <w:pPr>
              <w:pStyle w:val="null3"/>
              <w:jc w:val="both"/>
            </w:pPr>
            <w:r>
              <w:rPr>
                <w:rFonts w:ascii="仿宋_GB2312" w:hAnsi="仿宋_GB2312" w:cs="仿宋_GB2312" w:eastAsia="仿宋_GB2312"/>
                <w:sz w:val="20"/>
              </w:rPr>
              <w:t>（九）保密要求</w:t>
            </w:r>
          </w:p>
          <w:p>
            <w:pPr>
              <w:pStyle w:val="null3"/>
              <w:jc w:val="both"/>
            </w:pPr>
            <w:r>
              <w:rPr>
                <w:rFonts w:ascii="仿宋_GB2312" w:hAnsi="仿宋_GB2312" w:cs="仿宋_GB2312" w:eastAsia="仿宋_GB2312"/>
                <w:sz w:val="20"/>
              </w:rPr>
              <w:t>供应商应承担保密义务，不得以任何形式向第三方提供或泄露中心的工作机密，</w:t>
            </w:r>
            <w:r>
              <w:rPr>
                <w:rFonts w:ascii="仿宋_GB2312" w:hAnsi="仿宋_GB2312" w:cs="仿宋_GB2312" w:eastAsia="仿宋_GB2312"/>
                <w:sz w:val="20"/>
              </w:rPr>
              <w:t>包括采购人的日常运作、工作情况、网络结构、系统软件及采购人所提供的所有相关资料、数据等。保密期限不受合同有效期的限制，在合同有效期结束后，供应商仍应承担保密义务。</w:t>
            </w:r>
          </w:p>
          <w:p>
            <w:pPr>
              <w:pStyle w:val="null3"/>
              <w:jc w:val="both"/>
            </w:pPr>
            <w:r>
              <w:rPr>
                <w:rFonts w:ascii="仿宋_GB2312" w:hAnsi="仿宋_GB2312" w:cs="仿宋_GB2312" w:eastAsia="仿宋_GB2312"/>
                <w:sz w:val="20"/>
              </w:rPr>
              <w:t>（十）其他要求</w:t>
            </w:r>
          </w:p>
          <w:p>
            <w:pPr>
              <w:pStyle w:val="null3"/>
              <w:jc w:val="both"/>
            </w:pPr>
            <w:r>
              <w:rPr>
                <w:rFonts w:ascii="仿宋_GB2312" w:hAnsi="仿宋_GB2312" w:cs="仿宋_GB2312" w:eastAsia="仿宋_GB2312"/>
                <w:sz w:val="20"/>
              </w:rPr>
              <w:t>1.如果在维护期内联网收费业务支撑平台新增硬件设备，供应商应提供对新增硬件设备状态的日常巡检服务。</w:t>
            </w:r>
          </w:p>
          <w:p>
            <w:pPr>
              <w:pStyle w:val="null3"/>
              <w:jc w:val="both"/>
            </w:pPr>
            <w:r>
              <w:rPr>
                <w:rFonts w:ascii="仿宋_GB2312" w:hAnsi="仿宋_GB2312" w:cs="仿宋_GB2312" w:eastAsia="仿宋_GB2312"/>
                <w:sz w:val="20"/>
              </w:rPr>
              <w:t>2.供应商应保障支撑平台运行的连续性，制订详细、可行的连续性应急预案，维护期内如发生硬件故障，供应商应及时定位故障，并采取应急措施确保支撑平台运行的连续性。如需维修或更换硬件，供应商应提出配件规格型号，由采购人自行采购或委托供应商代购。其中本项目实施过程中所需的辅料辅材及价值低于3000元的低值易耗品由供应商负责维修及更换工作，采购人不再另行支付。</w:t>
            </w:r>
          </w:p>
          <w:p>
            <w:pPr>
              <w:pStyle w:val="null3"/>
              <w:jc w:val="both"/>
            </w:pPr>
            <w:r>
              <w:rPr>
                <w:rFonts w:ascii="仿宋_GB2312" w:hAnsi="仿宋_GB2312" w:cs="仿宋_GB2312" w:eastAsia="仿宋_GB2312"/>
                <w:sz w:val="20"/>
              </w:rPr>
              <w:t>3.供应商应配合采购方在法定时间内完成合同的签订工作，签订地点由采购方指定。</w:t>
            </w:r>
          </w:p>
          <w:p>
            <w:pPr>
              <w:pStyle w:val="null3"/>
            </w:pPr>
            <w:r>
              <w:rPr>
                <w:rFonts w:ascii="仿宋_GB2312" w:hAnsi="仿宋_GB2312" w:cs="仿宋_GB2312" w:eastAsia="仿宋_GB2312"/>
                <w:sz w:val="20"/>
              </w:rPr>
              <w:t>（十一）供应链管理要求。供应商应严格落实网络安全和保密及人员管理要求，承担相应人员的网络安全和保密及人员管理责任，按要求签订协议和承诺书。供应商应强化配备人员管理，项目团队成员一经确认，原则上不得更换。如因特殊情况确需调整，须提前</w:t>
            </w:r>
            <w:r>
              <w:rPr>
                <w:rFonts w:ascii="仿宋_GB2312" w:hAnsi="仿宋_GB2312" w:cs="仿宋_GB2312" w:eastAsia="仿宋_GB2312"/>
                <w:sz w:val="20"/>
              </w:rPr>
              <w:t>15个日历天向采购人提交书面申请，经采购人审核同意后方可更换，且替换人员的职称、专业背景、从业年限及项目经验不得低于原定人员标准，确保项目服务质量不受影响。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服务期：2026年7月1日至2027年6月30日，服务期内7*24小时服务。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所提供服务应遵循中华人民共和国及地方的有关法律规范，达到采购人使用要求，由采购人组织验收。验收依据：（1）竞争性磋商文件；（2）磋商响应文件；（3）合同文本；（4）国家有关的验收标准及规范。 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进度款，合同签订生效并进入服务期后按月支付服务费（供应商须向采购人出具合法有效的发票，采购人进行支付结算。首次支付时供应商应开具全额发票）； 服务期第二个月，供应商按照合同约定每月完成服务并提交服务报告，经采购人审核后，达到付款条件起15个工作日内，支付合同总金额的8.33%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进度款，服务期第三个月，供应商按照合同约定每月完成服务并提交服务报告，经采购人审核后，达到付款条件起15个工作日内，支付合同总金额的8.33%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进度款，服务期第四个月，供应商按照合同约定每月完成服务并提交服务报告，经采购人审核后，达到付款条件起15个工作日内，支付合同总金额的8.33%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进度款，服务期第五个月，供应商按照合同约定每月完成服务并提交服务报告，经采购人审核后，达到付款条件起15个工作日内，支付合同总金额的8.33%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其他，服务期第六个月，2026年12月申请年度最后一次支付时，供应商需提供剩余款项的有效银行保函（待到项目验收通过后中心退还保函），达到付款条件起15个工作日内，支付合同总金额的66.68%</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1.出现下列情况，每次扣除维护服务费1000元，从当期维护服务费中扣除。 （1）供应商在服务期内，应当按中心要求保证运维质量，如未按要求及时响应维护。 （2）日常维护中因巡检不到位造成故障不能及时发现处置。 （3）供应商应保障支撑平台运行的连续性，制订连续性应急措施，如发生硬件损坏故障，因应急措施不当影响了支撑平台运行的连续性。 （4）未经允许驻场人员擅离职守。 2.供应商未提供保证本运维项目执行的管理及运维文件，中心可以推迟付款，直至供应商补齐有关文件。 3.供应商如不能及时开具全额发票或采购人要求的保函，采购人有权延时付款且不承担违约责任，直至供应商开具全额发票或采购人要求的保函后再进行付款。 4.因供应商泄密或操作不当造成中心利益损害，除一切后果与法律责任由供应商承担，中心有权要求供应商赔偿经济损失。 5.上述违约内容直接从中心未支付供应商的合同金额中扣减，如合同剩余金额不足的，供应商应在规定时限内向中心交纳。 6.因供应商原因，导致合同无法按时签订的，视为对项目的自动放弃，采购方有权取消供应商的中标或成交资格、并有权依据采购文件中的约定及相关法律规定，追究供应商的违约责任。 7.供应商如不能及时开具全额发票或采购人要求的保函，采购人有权延时付款且不承担违约责任，直至供应商开具全额发票或采购人要求的保函后再进行付款。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一、采购项目需要落实的政府采购政策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10、财库(2026)2号-关于推动解决政府采购异常低价问题的通知 11、国办发〔2025]34号-国务院办公厅关于在政府采购中实施本国产品标准及相关政策的通知 二、政府采购信用融资政策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三、磋商保证金退还 成交通知书发出之日起5个工作日内退还未成交供应商的磋商保证金，自政府采购合同签订之日起5个工作日内退还成交供应商的磋商保证金。 四、磋商文件中所有的商务要求均为实质性要求，供应商必须响应并满足。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会计师事务所审计并通过注册会计师行业统一监管平台备案赋码的审计报告（事业法人可提供部门决算报告）；或供应商基本账户银行出具的资信证明；或提供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供应商需提供参加本次政府采购活动前3年内在经营活动中没有重大违法记录的书面声明并进行电子签章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供应商需提供具有履行合同所必需的设备和专业技术能力书面声明函并进行电子签章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磋商小组认为供应商响应报价明显低于其他通过符合性审查供应商的响应报价，有可能影响项目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分项报价表.docx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响应文件的服务地点、服务期、付款方式、合同等商务要求符合磋商文件要求。</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商务应答表 标的清单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商务应答表 标的清单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项目重点难点分析、应对措施及相关的合理化建议</w:t>
            </w:r>
          </w:p>
        </w:tc>
        <w:tc>
          <w:tcPr>
            <w:tcW w:type="dxa" w:w="2492"/>
          </w:tcPr>
          <w:p>
            <w:pPr>
              <w:pStyle w:val="null3"/>
            </w:pPr>
            <w:r>
              <w:rPr>
                <w:rFonts w:ascii="仿宋_GB2312" w:hAnsi="仿宋_GB2312" w:cs="仿宋_GB2312" w:eastAsia="仿宋_GB2312"/>
              </w:rPr>
              <w:t>供应商针对本项目重点难点分析、应对措施及相关的合理化建议，给出具体思路和方案：a.内容完整、分析合理、应对措施科学合理，合理化建议针对性强计8分；b.内容较完整、分析较全面、应对措施基本合理、合理化建议针对性一般计6分； c.内容不够完整、分析不够全面、应对措施不够科学合理、合理化建议针对性不强计4分；d.内容简单有缺项，应对措施不合理，可操作性一般、无针对性计2分；e.无此项方案的计0分。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1详细评审--项目重点难点分析、应对措施及相关的合理化建议.docx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供应商针对本项目提供运维服务方案，包含但不限于：1.对项目服务需求、背景的理解；2.识别项目服务内容，针对本项目服务要求提供实施计划；3.明确管理架构及分工服务体系等：a.服务方案全面、内容细致，需求理解透彻，运维流程合理，贴合本项目实际需求的计12分；b.服务方案较全面、内容较细致，运维流程较合理，较贴合本项目实际需求的计9分；c.服务方案基本全面、内容基本细致，或运维流程基本合理，基本贴合本项目实际需求的计6分；d.服务方案欠全面、内容欠细致，或运维流程欠合理，贴合本项目实际需求不好的计3分；e.无服务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2详细评审--运维服务方案.docx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供应商需提供具体的项目实施进度计划安排，至少应包含以下内容：1. 日常巡检、定期保养、故障处理、系统升级、数据备份、报告提交以及安全保障等工作的时间安排；2. 备品备件抵达现场的时效要求。a.计划详尽、科学合理，完全满足项目需求，得6分；b.计划完整，仅满足部分需求得3分；c.计划简单笼统，针对性不强，不能满足项目要求得2分；d.无计划得0分。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3详细评审--进度安排.docx</w:t>
            </w:r>
          </w:p>
        </w:tc>
      </w:tr>
      <w:tr>
        <w:tc>
          <w:tcPr>
            <w:tcW w:type="dxa" w:w="831"/>
            <w:vMerge/>
          </w:tcPr>
          <w:p/>
        </w:tc>
        <w:tc>
          <w:tcPr>
            <w:tcW w:type="dxa" w:w="1661"/>
          </w:tcPr>
          <w:p>
            <w:pPr>
              <w:pStyle w:val="null3"/>
            </w:pPr>
            <w:r>
              <w:rPr>
                <w:rFonts w:ascii="仿宋_GB2312" w:hAnsi="仿宋_GB2312" w:cs="仿宋_GB2312" w:eastAsia="仿宋_GB2312"/>
              </w:rPr>
              <w:t>质量保障措施及方案</w:t>
            </w:r>
          </w:p>
        </w:tc>
        <w:tc>
          <w:tcPr>
            <w:tcW w:type="dxa" w:w="2492"/>
          </w:tcPr>
          <w:p>
            <w:pPr>
              <w:pStyle w:val="null3"/>
            </w:pPr>
            <w:r>
              <w:rPr>
                <w:rFonts w:ascii="仿宋_GB2312" w:hAnsi="仿宋_GB2312" w:cs="仿宋_GB2312" w:eastAsia="仿宋_GB2312"/>
              </w:rPr>
              <w:t>供应商针对本项目提供质量保障措施及方案：包含但不限于1. 项目质量管理制度；2. 项目资料管理、维护服务人员的稳定性、确保服务质量以及保障成果安全的措施等。a. 项目质量管理制度完备详尽，项目资料管理措施健全完善，服务人员队伍稳定，服务质量与成果安全保障措施周全细致，可得12分； b. 项目质量管理制度较为详细，项目资料管理措施具体，服务人员基本保持稳定，服务质量与成果安全保障措施合理可行，可得9分； c. 项目质量管理制度不够详尽，项目资料管理措施较为简单，服务质量与成果安全保障措施处于一般水平，可得6分； d. 项目质量管理制度欠佳，项目资料管理措施混乱，服务质量与成果安全保障措施缺乏可行性，可得3分； e. 若无相关措施及方案，则计0分。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4详细评审--质量保障措施及方案.docx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供应商针对本项目提供应急措施，包括但不限于响应时间方案、故障处理方案、电话支持方案、远程服务方案、现场服务方案、应急处置流程以及应急解决方案等。 a.方案全面合理，内容详细，措施完善，完全满足采购要求，得12分；b.方案基本完整，针对性不够强，基本满足项目要求得9分；c.方案不够完整，针对性一般，很难满足项目要求得6分；d.措施简单笼统，针对性不强，不能满足项目要求得3分；e.无措施及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5详细评审--应急措施.docx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1、供应商需提供针对本项目拟投入的团队人员相关信息，不限于团队人员分工、职责、数量及名单。 a.人员分工明确，职责清晰，能充分满足项目需求，可得4分； b.人员分工模糊，职责不明确，仅能满足部分需求，可得2分； c.未提供相关信息则不计分。 2、项目经理：供应商派专人负责项目的整体统筹管理、资源协调、服务质量总体把关，负责人拥有至少五年信息系统运维项目管理经验，并具备PMP认证或信息系统项目管理师认证得2分； 3、驻场运维服务团队：供应商至少设置5人，其中设置现场主管1人，负责驻场运维团队管理、服务质量管理和运维技术把控；设置技术岗人员，负责现场网络、虚拟化和存储等日常技术问题的处理；设置操作岗人员，进行7*24小时轮班值守，负责日常运维操作服务。 ①现场主管：拥有至少五年信息系统运维从业经验；②技术岗人员：拥有至少三年信息系统运维从业经验；③操作岗人员：拥有至少两年信息系统运维从业经验；且现场主管、技术岗、操作岗人员具备机房运行维护或云平台运行维护的相关技术资质。完全满足得3分，一项不满足本项不得分。 4、供应商须提供二线技术专家支持团队，团队不少于3人，团队成员应具备机房运行维护或云平台运行维护的相关技术资质。如出现驻场服务人员不能解决的问题，二线技术专家应及时响应、现场服务。为提供快速、有效的应急响应服务，供应商应具备本地化服务能力，二线技术专家支持团队本地人员占比不低于50%。完全满足得2分，一项不满足本项不得分。 备注：需提供项目团队成员工作经验证明材料、相关证书复印件，未提供或提供不全不得分。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需针对本项目的采购内容及要求，提供具体的保密方案，包括但不限于保密管理制度、数据与信息安全保密措施等。a.方案完善、合理、科学有效，能保证项目顺利实施，得6分；b.方案不够完善，合理性一般，很难保证项目顺利实施，得4分；c.方案简单笼统，无合理性，无针对性，不能保证项目顺利实施，得2分；d.无保密方案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7详细评审--保密方案.docx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具体的服务承诺，包括但不限于服务质量承诺、保密承诺、应急响应承诺、服务时间承诺、人员配备状况承诺、网络安全以及数据安全保障承诺等方面。a.服务承诺完整、合理，切实针对本项目实际情况计6分；b.服务承诺不够详细、合理，可行但并不具备借鉴意义计4分；c.服务承诺简单笼统、有明显漏洞计2分；d.无服务承诺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8详细评审--服务承诺.docx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供应商具备有效的ITSS信息技术服务运行维护标准符合性证书（运行维护），得2分。 备注：须提供证书复印件加盖供应商公章。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同类项目业绩证明，每提供1个有效业绩证明得1分，满分5分，不提供不得分。（业绩时间以合同签订时间为准，并提供合同扫描件。复印件能清晰的表明合同双方名称、项目内容和签署日期。同一个项目内容存续期的合同视为同一个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报价最低的报价为评标基准价，其价格分为满分。报价得分＝（基准价／磋商报价）×20。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其他说明.docx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详见附件：1详细评审--项目重点难点分析、应对措施及相关的合理化建议.docx</w:t>
      </w:r>
    </w:p>
    <w:p>
      <w:pPr>
        <w:pStyle w:val="null3"/>
        <w:ind w:firstLine="960"/>
      </w:pPr>
      <w:r>
        <w:rPr>
          <w:rFonts w:ascii="仿宋_GB2312" w:hAnsi="仿宋_GB2312" w:cs="仿宋_GB2312" w:eastAsia="仿宋_GB2312"/>
        </w:rPr>
        <w:t>详见附件：2详细评审--运维服务方案.docx</w:t>
      </w:r>
    </w:p>
    <w:p>
      <w:pPr>
        <w:pStyle w:val="null3"/>
        <w:ind w:firstLine="960"/>
      </w:pPr>
      <w:r>
        <w:rPr>
          <w:rFonts w:ascii="仿宋_GB2312" w:hAnsi="仿宋_GB2312" w:cs="仿宋_GB2312" w:eastAsia="仿宋_GB2312"/>
        </w:rPr>
        <w:t>详见附件：3详细评审--进度安排.docx</w:t>
      </w:r>
    </w:p>
    <w:p>
      <w:pPr>
        <w:pStyle w:val="null3"/>
        <w:ind w:firstLine="960"/>
      </w:pPr>
      <w:r>
        <w:rPr>
          <w:rFonts w:ascii="仿宋_GB2312" w:hAnsi="仿宋_GB2312" w:cs="仿宋_GB2312" w:eastAsia="仿宋_GB2312"/>
        </w:rPr>
        <w:t>详见附件：4详细评审--质量保障措施及方案.docx</w:t>
      </w:r>
    </w:p>
    <w:p>
      <w:pPr>
        <w:pStyle w:val="null3"/>
        <w:ind w:firstLine="960"/>
      </w:pPr>
      <w:r>
        <w:rPr>
          <w:rFonts w:ascii="仿宋_GB2312" w:hAnsi="仿宋_GB2312" w:cs="仿宋_GB2312" w:eastAsia="仿宋_GB2312"/>
        </w:rPr>
        <w:t>详见附件：5详细评审--应急措施.docx</w:t>
      </w:r>
    </w:p>
    <w:p>
      <w:pPr>
        <w:pStyle w:val="null3"/>
        <w:ind w:firstLine="960"/>
      </w:pPr>
      <w:r>
        <w:rPr>
          <w:rFonts w:ascii="仿宋_GB2312" w:hAnsi="仿宋_GB2312" w:cs="仿宋_GB2312" w:eastAsia="仿宋_GB2312"/>
        </w:rPr>
        <w:t>详见附件：6详细评审--项目团队.docx</w:t>
      </w:r>
    </w:p>
    <w:p>
      <w:pPr>
        <w:pStyle w:val="null3"/>
        <w:ind w:firstLine="960"/>
      </w:pPr>
      <w:r>
        <w:rPr>
          <w:rFonts w:ascii="仿宋_GB2312" w:hAnsi="仿宋_GB2312" w:cs="仿宋_GB2312" w:eastAsia="仿宋_GB2312"/>
        </w:rPr>
        <w:t>详见附件：7详细评审--保密方案.docx</w:t>
      </w:r>
    </w:p>
    <w:p>
      <w:pPr>
        <w:pStyle w:val="null3"/>
        <w:ind w:firstLine="960"/>
      </w:pPr>
      <w:r>
        <w:rPr>
          <w:rFonts w:ascii="仿宋_GB2312" w:hAnsi="仿宋_GB2312" w:cs="仿宋_GB2312" w:eastAsia="仿宋_GB2312"/>
        </w:rPr>
        <w:t>详见附件：8详细评审--服务承诺.docx</w:t>
      </w:r>
    </w:p>
    <w:p>
      <w:pPr>
        <w:pStyle w:val="null3"/>
        <w:ind w:firstLine="960"/>
      </w:pPr>
      <w:r>
        <w:rPr>
          <w:rFonts w:ascii="仿宋_GB2312" w:hAnsi="仿宋_GB2312" w:cs="仿宋_GB2312" w:eastAsia="仿宋_GB2312"/>
        </w:rPr>
        <w:t>详见附件：9详细评审--企业实力.docx</w:t>
      </w:r>
    </w:p>
    <w:p>
      <w:pPr>
        <w:pStyle w:val="null3"/>
        <w:ind w:firstLine="960"/>
      </w:pPr>
      <w:r>
        <w:rPr>
          <w:rFonts w:ascii="仿宋_GB2312" w:hAnsi="仿宋_GB2312" w:cs="仿宋_GB2312" w:eastAsia="仿宋_GB2312"/>
        </w:rPr>
        <w:t>详见附件：10详细评审--业绩.docx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