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版本号：HDCGDL-ZC2026-038.1B120260701001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小型监测站机房及线路租赁项目(二次)</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HDCGDL-ZC2026-038.1B1</w:t>
      </w:r>
      <w:r>
        <w:br/>
      </w:r>
      <w:r>
        <w:br/>
      </w:r>
      <w:r>
        <w:br/>
      </w:r>
    </w:p>
    <w:p>
      <w:pPr>
        <w:pStyle w:val="null3"/>
        <w:jc w:val="center"/>
        <w:outlineLvl w:val="5"/>
      </w:pPr>
      <w:r>
        <w:rPr>
          <w:rFonts w:ascii="仿宋_GB2312" w:hAnsi="仿宋_GB2312" w:cs="仿宋_GB2312" w:eastAsia="仿宋_GB2312"/>
          <w:sz w:val="15"/>
          <w:b/>
        </w:rPr>
        <w:t>陕西省无线电管理委员会办公室延安市管理处</w:t>
      </w:r>
    </w:p>
    <w:p>
      <w:pPr>
        <w:pStyle w:val="null3"/>
        <w:jc w:val="center"/>
        <w:outlineLvl w:val="5"/>
      </w:pPr>
      <w:r>
        <w:rPr>
          <w:rFonts w:ascii="仿宋_GB2312" w:hAnsi="仿宋_GB2312" w:cs="仿宋_GB2312" w:eastAsia="仿宋_GB2312"/>
          <w:sz w:val="15"/>
          <w:b/>
        </w:rPr>
        <w:t>华鼎工程咨询集团有限公司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华鼎工程咨询集团有限公司</w:t>
      </w:r>
      <w:r>
        <w:rPr>
          <w:rFonts w:ascii="仿宋_GB2312" w:hAnsi="仿宋_GB2312" w:cs="仿宋_GB2312" w:eastAsia="仿宋_GB2312"/>
        </w:rPr>
        <w:t>（以下简称“代理机构”）受</w:t>
      </w:r>
      <w:r>
        <w:rPr>
          <w:rFonts w:ascii="仿宋_GB2312" w:hAnsi="仿宋_GB2312" w:cs="仿宋_GB2312" w:eastAsia="仿宋_GB2312"/>
        </w:rPr>
        <w:t>陕西省无线电管理委员会办公室延安市管理处</w:t>
      </w:r>
      <w:r>
        <w:rPr>
          <w:rFonts w:ascii="仿宋_GB2312" w:hAnsi="仿宋_GB2312" w:cs="仿宋_GB2312" w:eastAsia="仿宋_GB2312"/>
        </w:rPr>
        <w:t>委托，拟对</w:t>
      </w:r>
      <w:r>
        <w:rPr>
          <w:rFonts w:ascii="仿宋_GB2312" w:hAnsi="仿宋_GB2312" w:cs="仿宋_GB2312" w:eastAsia="仿宋_GB2312"/>
        </w:rPr>
        <w:t>小型监测站机房及线路租赁项目(二次)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HDCGDL-ZC2026-038.1B1</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小型监测站机房及线路租赁项目(二次)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提供延安市县区内共14个小型监测站机房及线路租赁服务。</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1、营业执照等主体资格证明文件：供应商具有独立承担民事责任能力的法人或其他组织，提供合法有效的统一社会信用代码的营业执照等主体资格证明文件</w:t>
      </w:r>
    </w:p>
    <w:p>
      <w:pPr>
        <w:pStyle w:val="null3"/>
      </w:pPr>
      <w:r>
        <w:rPr>
          <w:rFonts w:ascii="仿宋_GB2312" w:hAnsi="仿宋_GB2312" w:cs="仿宋_GB2312" w:eastAsia="仿宋_GB2312"/>
        </w:rPr>
        <w:t>2、开户许可证（或基本存款账户信息）：开户许可证（或基本存款账户信息）</w:t>
      </w:r>
    </w:p>
    <w:p>
      <w:pPr>
        <w:pStyle w:val="null3"/>
      </w:pPr>
      <w:r>
        <w:rPr>
          <w:rFonts w:ascii="仿宋_GB2312" w:hAnsi="仿宋_GB2312" w:cs="仿宋_GB2312" w:eastAsia="仿宋_GB2312"/>
        </w:rPr>
        <w:t>3、法定代表人授权书（法定代表人直接参加只须提供法定代表人身份证）：法定代表人授权书（附法定代表人身份证复印件）及被授权人身份证原件；（法定代表人直接参加只须提供法定代表人身份证）</w:t>
      </w:r>
    </w:p>
    <w:p>
      <w:pPr>
        <w:pStyle w:val="null3"/>
      </w:pPr>
      <w:r>
        <w:rPr>
          <w:rFonts w:ascii="仿宋_GB2312" w:hAnsi="仿宋_GB2312" w:cs="仿宋_GB2312" w:eastAsia="仿宋_GB2312"/>
        </w:rPr>
        <w:t>4、书面声明：供应商应出具参加政府采购活动前3年内，在经营活动中无重大违法记录的书面声明</w:t>
      </w:r>
    </w:p>
    <w:p>
      <w:pPr>
        <w:pStyle w:val="null3"/>
      </w:pPr>
      <w:r>
        <w:rPr>
          <w:rFonts w:ascii="仿宋_GB2312" w:hAnsi="仿宋_GB2312" w:cs="仿宋_GB2312" w:eastAsia="仿宋_GB2312"/>
        </w:rPr>
        <w:t>5、财务审计报告或资信证明：须具有经会计师事务所或审计机构审计的财务审计报告（2025年）或三个月内其基本账户开户银行出具的资信证明</w:t>
      </w:r>
    </w:p>
    <w:p>
      <w:pPr>
        <w:pStyle w:val="null3"/>
      </w:pPr>
      <w:r>
        <w:rPr>
          <w:rFonts w:ascii="仿宋_GB2312" w:hAnsi="仿宋_GB2312" w:cs="仿宋_GB2312" w:eastAsia="仿宋_GB2312"/>
        </w:rPr>
        <w:t>6、税收缴纳证明：提供2026年1月1日至今已缴纳的任一个月的纳税证明，依法免税的供应商应提供相关证明文件</w:t>
      </w:r>
    </w:p>
    <w:p>
      <w:pPr>
        <w:pStyle w:val="null3"/>
      </w:pPr>
      <w:r>
        <w:rPr>
          <w:rFonts w:ascii="仿宋_GB2312" w:hAnsi="仿宋_GB2312" w:cs="仿宋_GB2312" w:eastAsia="仿宋_GB2312"/>
        </w:rPr>
        <w:t>7、社会保障资金缴纳证明：提供2026年1月1日至今已缴纳的任一个月的社会保障资金缴存单据或社保机构开具的社会保险参保缴费情况证明，单据或证明上应有社保机构或代收机构的公章，依法不需要缴纳社会保障资金的单位应提供相关证明材料</w:t>
      </w:r>
    </w:p>
    <w:p>
      <w:pPr>
        <w:pStyle w:val="null3"/>
      </w:pPr>
      <w:r>
        <w:rPr>
          <w:rFonts w:ascii="仿宋_GB2312" w:hAnsi="仿宋_GB2312" w:cs="仿宋_GB2312" w:eastAsia="仿宋_GB2312"/>
        </w:rPr>
        <w:t>8、信誉：供应商未被列入“信用中国”重大税收违法失信主体名单，“中国执行信息公开网”网站未被列为失信被执行人，不得为中国政府采购网政府采购严重违法失信行为记录名单中被财政部门禁止参加政府采购活动的供应商(资格审查时现场核查)</w:t>
      </w:r>
    </w:p>
    <w:p>
      <w:pPr>
        <w:pStyle w:val="null3"/>
      </w:pPr>
      <w:r>
        <w:rPr>
          <w:rFonts w:ascii="仿宋_GB2312" w:hAnsi="仿宋_GB2312" w:cs="仿宋_GB2312" w:eastAsia="仿宋_GB2312"/>
        </w:rPr>
        <w:t>9、控股、管理关系：单位负责人为同一人或者存在直接控股、管理关系的不同单位，不得参加同一项目的采购活动</w:t>
      </w:r>
    </w:p>
    <w:p>
      <w:pPr>
        <w:pStyle w:val="null3"/>
      </w:pPr>
      <w:r>
        <w:rPr>
          <w:rFonts w:ascii="仿宋_GB2312" w:hAnsi="仿宋_GB2312" w:cs="仿宋_GB2312" w:eastAsia="仿宋_GB2312"/>
        </w:rPr>
        <w:t>10、本项目不接受联合体：非联合体投标声明</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陕西省无线电管理委员会办公室延安市管理处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陕西省延安市宝塔区枣园路风情街C4栋</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陕西省无线电管理委员会办公室延安市管理处经办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18109115535</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华鼎工程咨询集团有限公司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延安市枣园路圣都花园A栋C座10楼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18740612847</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采购包1：539,600.00元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采购包1：539,600.00元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在领取成交通知书时，向华鼎工程咨询集团有限公司交纳招标代理服务费。服务费收费标准参照原《国家计委关于印发&lt;招标代理服务收费管理暂行办法&gt;的通知》(计价格〔2002〕1980号)、《国家发展改革委关于降低部分建设项目收费标准规范收费行为等有关问题的通知》(发改价格〔2011〕534号)规定执行。服务费汇入以下指定银行账户：名称：华鼎工程咨询集团有限公司志丹县分公司 地址：陕西省延安市志丹县华鼎园小区1栋5单元301室 税号：91610625MA6YLW692J 开户行及账号：中国工商银行股份有限公司延安兰家坪支行2609011709200084847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陕西省无线电管理委员会办公室延安市管理处</w:t>
      </w:r>
      <w:r>
        <w:rPr>
          <w:rFonts w:ascii="仿宋_GB2312" w:hAnsi="仿宋_GB2312" w:cs="仿宋_GB2312" w:eastAsia="仿宋_GB2312"/>
        </w:rPr>
        <w:t>和</w:t>
      </w:r>
      <w:r>
        <w:rPr>
          <w:rFonts w:ascii="仿宋_GB2312" w:hAnsi="仿宋_GB2312" w:cs="仿宋_GB2312" w:eastAsia="仿宋_GB2312"/>
        </w:rPr>
        <w:t>华鼎工程咨询集团有限公司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华鼎工程咨询集团有限公司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陕西省无线电管理委员会办公室延安市管理处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华鼎工程咨询集团有限公司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14个小型监测站正常使用</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华鼎工程咨询集团有限公司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华鼎工程咨询集团有限公司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华鼎工程咨询集团有限公司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联系人：李慧慧</w:t>
      </w:r>
    </w:p>
    <w:p>
      <w:pPr>
        <w:pStyle w:val="null3"/>
      </w:pPr>
      <w:r>
        <w:rPr>
          <w:rFonts w:ascii="仿宋_GB2312" w:hAnsi="仿宋_GB2312" w:cs="仿宋_GB2312" w:eastAsia="仿宋_GB2312"/>
        </w:rPr>
        <w:t>联系电话：18740612847</w:t>
      </w:r>
    </w:p>
    <w:p>
      <w:pPr>
        <w:pStyle w:val="null3"/>
      </w:pPr>
      <w:r>
        <w:rPr>
          <w:rFonts w:ascii="仿宋_GB2312" w:hAnsi="仿宋_GB2312" w:cs="仿宋_GB2312" w:eastAsia="仿宋_GB2312"/>
        </w:rPr>
        <w:t>地址：延安市枣园路圣都花园A栋C座10楼</w:t>
      </w:r>
    </w:p>
    <w:p>
      <w:pPr>
        <w:pStyle w:val="null3"/>
      </w:pPr>
      <w:r>
        <w:rPr>
          <w:rFonts w:ascii="仿宋_GB2312" w:hAnsi="仿宋_GB2312" w:cs="仿宋_GB2312" w:eastAsia="仿宋_GB2312"/>
        </w:rPr>
        <w:t>邮编：716000</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延安市各县区共14个小型监测站机房及线路租赁</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539,600.00</w:t>
      </w:r>
    </w:p>
    <w:p>
      <w:pPr>
        <w:pStyle w:val="null3"/>
      </w:pPr>
      <w:r>
        <w:rPr>
          <w:rFonts w:ascii="仿宋_GB2312" w:hAnsi="仿宋_GB2312" w:cs="仿宋_GB2312" w:eastAsia="仿宋_GB2312"/>
        </w:rPr>
        <w:t>采购包最高限价（元）: 539,600.00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延安市县区内小型监测站机房及线路租赁服务</w:t>
            </w:r>
          </w:p>
        </w:tc>
        <w:tc>
          <w:tcPr>
            <w:tcW w:type="dxa" w:w="755"/>
          </w:tcPr>
          <w:p>
            <w:pPr>
              <w:pStyle w:val="null3"/>
              <w:jc w:val="right"/>
            </w:pPr>
            <w:r>
              <w:rPr>
                <w:rFonts w:ascii="仿宋_GB2312" w:hAnsi="仿宋_GB2312" w:cs="仿宋_GB2312" w:eastAsia="仿宋_GB2312"/>
              </w:rPr>
              <w:t>14.00</w:t>
            </w:r>
          </w:p>
        </w:tc>
        <w:tc>
          <w:tcPr>
            <w:tcW w:type="dxa" w:w="755"/>
          </w:tcPr>
          <w:p>
            <w:pPr>
              <w:pStyle w:val="null3"/>
              <w:jc w:val="right"/>
            </w:pPr>
            <w:r>
              <w:rPr>
                <w:rFonts w:ascii="仿宋_GB2312" w:hAnsi="仿宋_GB2312" w:cs="仿宋_GB2312" w:eastAsia="仿宋_GB2312"/>
              </w:rPr>
              <w:t>539,600.00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标的名称：延安市县区内小型监测站机房及线路租赁服务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提供14个小型监测站机房及线路租赁</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满足采购人及采购文件要求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满足采购人及采购文件要求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2026-9-30</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延安市</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其他，供应商中标后并开具发票，达到付款条件起15个工作日内，支付合同总金额的100.0%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中标后即可，已交付使用</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协商解决，协商不成向任何一方所在地法院提起诉讼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供应商具有独立承担民事责任能力的法人或其他组织，提供合法有效的统一社会信用代码的营业执照等主体资格证明文件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开户许可证（或基本存款账户信息）</w:t>
            </w:r>
          </w:p>
        </w:tc>
        <w:tc>
          <w:tcPr>
            <w:tcW w:type="dxa" w:w="3322"/>
          </w:tcPr>
          <w:p>
            <w:pPr>
              <w:pStyle w:val="null3"/>
            </w:pPr>
            <w:r>
              <w:rPr>
                <w:rFonts w:ascii="仿宋_GB2312" w:hAnsi="仿宋_GB2312" w:cs="仿宋_GB2312" w:eastAsia="仿宋_GB2312"/>
              </w:rPr>
              <w:t>开户许可证（或基本存款账户信息）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法定代表人授权书（法定代表人直接参加只须提供法定代表人身份证）</w:t>
            </w:r>
          </w:p>
        </w:tc>
        <w:tc>
          <w:tcPr>
            <w:tcW w:type="dxa" w:w="3322"/>
          </w:tcPr>
          <w:p>
            <w:pPr>
              <w:pStyle w:val="null3"/>
            </w:pPr>
            <w:r>
              <w:rPr>
                <w:rFonts w:ascii="仿宋_GB2312" w:hAnsi="仿宋_GB2312" w:cs="仿宋_GB2312" w:eastAsia="仿宋_GB2312"/>
              </w:rPr>
              <w:t>法定代表人授权书（附法定代表人身份证复印件）及被授权人身份证原件；（法定代表人直接参加只须提供法定代表人身份证）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供应商应出具参加政府采购活动前3年内，在经营活动中无重大违法记录的书面声明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须具有经会计师事务所或审计机构审计的财务审计报告（2025年）或三个月内其基本账户开户银行出具的资信证明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提供2026年1月1日至今已缴纳的任一个月的纳税证明，依法免税的供应商应提供相关证明文件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1日至今已缴纳的任一个月的社会保障资金缴存单据或社保机构开具的社会保险参保缴费情况证明，单据或证明上应有社保机构或代收机构的公章，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供应商未被列入“信用中国”重大税收违法失信主体名单，“中国执行信息公开网”网站未被列为失信被执行人，不得为中国政府采购网政府采购严重违法失信行为记录名单中被财政部门禁止参加政府采购活动的供应商(资格审查时现场核查)</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单位负责人为同一人或者存在直接控股、管理关系的不同单位，不得参加同一项目的采购活动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供应商名称与获取单一来源采购文件的单位名称一致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单一来源响应文件按照单一来源采购文件规定要求签署、盖章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协商有效期</w:t>
            </w:r>
          </w:p>
        </w:tc>
        <w:tc>
          <w:tcPr>
            <w:tcW w:type="dxa" w:w="3322"/>
          </w:tcPr>
          <w:p>
            <w:pPr>
              <w:pStyle w:val="null3"/>
            </w:pPr>
            <w:r>
              <w:rPr>
                <w:rFonts w:ascii="仿宋_GB2312" w:hAnsi="仿宋_GB2312" w:cs="仿宋_GB2312" w:eastAsia="仿宋_GB2312"/>
              </w:rPr>
              <w:t>具有有效的协商有效期</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报价未超过单一来源采购文件中规定的预算金额或者最高限价</w:t>
            </w:r>
          </w:p>
        </w:tc>
        <w:tc>
          <w:tcPr>
            <w:tcW w:type="dxa" w:w="3322"/>
          </w:tcPr>
          <w:p>
            <w:pPr>
              <w:pStyle w:val="null3"/>
            </w:pPr>
            <w:r>
              <w:rPr>
                <w:rFonts w:ascii="仿宋_GB2312" w:hAnsi="仿宋_GB2312" w:cs="仿宋_GB2312" w:eastAsia="仿宋_GB2312"/>
              </w:rPr>
              <w:t>报价未超过单一来源采购文件中规定的预算金额或者最高限价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重大负偏离</w:t>
            </w:r>
          </w:p>
        </w:tc>
        <w:tc>
          <w:tcPr>
            <w:tcW w:type="dxa" w:w="3322"/>
          </w:tcPr>
          <w:p>
            <w:pPr>
              <w:pStyle w:val="null3"/>
            </w:pPr>
            <w:r>
              <w:rPr>
                <w:rFonts w:ascii="仿宋_GB2312" w:hAnsi="仿宋_GB2312" w:cs="仿宋_GB2312" w:eastAsia="仿宋_GB2312"/>
              </w:rPr>
              <w:t>单一来源响应文件未出现重大负偏离</w:t>
            </w:r>
          </w:p>
        </w:tc>
        <w:tc>
          <w:tcPr>
            <w:tcW w:type="dxa" w:w="1661"/>
          </w:tcPr>
          <w:p>
            <w:pPr>
              <w:pStyle w:val="null3"/>
            </w:pPr>
            <w:r>
              <w:rPr>
                <w:rFonts w:ascii="仿宋_GB2312" w:hAnsi="仿宋_GB2312" w:cs="仿宋_GB2312" w:eastAsia="仿宋_GB2312"/>
              </w:rPr>
              <w:t>商务应答表 服务内容及服务要求应答表</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