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版本号：KCHZZB-2026-001920260429001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2026年镇巴县渔渡镇渔渡坝社区果蔬连体大棚建设项目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KCHZZB-2026-0019</w:t>
      </w:r>
      <w:r>
        <w:br/>
      </w:r>
      <w:r>
        <w:br/>
      </w:r>
      <w:r>
        <w:br/>
      </w:r>
    </w:p>
    <w:p>
      <w:pPr>
        <w:pStyle w:val="null3"/>
        <w:jc w:val="center"/>
        <w:outlineLvl w:val="2"/>
      </w:pPr>
      <w:r>
        <w:rPr>
          <w:rFonts w:ascii="仿宋_GB2312" w:hAnsi="仿宋_GB2312" w:cs="仿宋_GB2312" w:eastAsia="仿宋_GB2312"/>
          <w:sz w:val="28"/>
          <w:b/>
        </w:rPr>
        <w:t>镇巴县渔渡镇人民政府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镇巴县渔渡镇人民政府</w:t>
      </w:r>
      <w:r>
        <w:rPr>
          <w:rFonts w:ascii="仿宋_GB2312" w:hAnsi="仿宋_GB2312" w:cs="仿宋_GB2312" w:eastAsia="仿宋_GB2312"/>
        </w:rPr>
        <w:t>委托，拟对</w:t>
      </w:r>
      <w:r>
        <w:rPr>
          <w:rFonts w:ascii="仿宋_GB2312" w:hAnsi="仿宋_GB2312" w:cs="仿宋_GB2312" w:eastAsia="仿宋_GB2312"/>
        </w:rPr>
        <w:t>2026年镇巴县渔渡镇渔渡坝社区果蔬连体大棚建设项目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KCHZZB-2026-0019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2026年镇巴县渔渡镇渔渡坝社区果蔬连体大棚建设项目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该项目位于镇巴县渔渡镇境内，项目主要内容为：新建单层钢结构蔬菜大棚8座、总建筑面积2560平方米、高6.3米，配套排水、电气等设施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采购包1（2026年镇巴县渔渡镇渔渡坝社区果蔬连体大棚建设项目）：属于专门面向中小企业采购。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p>
      <w:pPr>
        <w:pStyle w:val="null3"/>
      </w:pPr>
      <w:r>
        <w:rPr>
          <w:rFonts w:ascii="仿宋_GB2312" w:hAnsi="仿宋_GB2312" w:cs="仿宋_GB2312" w:eastAsia="仿宋_GB2312"/>
        </w:rPr>
        <w:t>4、供应商资质：供应商具有行政主管部门核发的建筑工程施工总承包三级（含三级）及以上资质，且具有有效的安全生产许可证，供应商需在项目电子化交易系统中按要求上传相应证明文件并进行电子签章；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5、项目负责人：拟派项目经理须具备建筑工程专业二级（含二级）以上注册建造师资格和安全生产考核合格B证，且无在建项目，供应商需在项目电子化交易系统中按要求上传相应证明文件并进行电子签章；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6、非联合体投标承诺函：本项目不接受联合体投标，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镇巴县渔渡镇人民政府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陕西省汉中市镇巴县渔渡镇渔渡坝社区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镇巴县渔渡镇人民政府经办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19091681900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陕西省汉中市汉台区东一环路中饮办公中心8楼820室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康诚建设有限公司经办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0916-8888075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采购包1：1,106,724.85元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银行账号：61050165910000001107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2、采购代理服务费的缴纳方式：在领取《成交通知书》时向采购代理机构一次性全额缴纳采购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镇巴县渔渡镇人民政府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镇巴县渔渡镇人民政府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镇巴县渔渡镇人民政府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镇巴县渔渡镇人民政府</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联系人：康诚建设有限公司经办</w:t>
      </w:r>
    </w:p>
    <w:p>
      <w:pPr>
        <w:pStyle w:val="null3"/>
      </w:pPr>
      <w:r>
        <w:rPr>
          <w:rFonts w:ascii="仿宋_GB2312" w:hAnsi="仿宋_GB2312" w:cs="仿宋_GB2312" w:eastAsia="仿宋_GB2312"/>
        </w:rPr>
        <w:t>联系电话：0916-8888075</w:t>
      </w:r>
    </w:p>
    <w:p>
      <w:pPr>
        <w:pStyle w:val="null3"/>
      </w:pPr>
      <w:r>
        <w:rPr>
          <w:rFonts w:ascii="仿宋_GB2312" w:hAnsi="仿宋_GB2312" w:cs="仿宋_GB2312" w:eastAsia="仿宋_GB2312"/>
        </w:rPr>
        <w:t>地址：陕西省汉中市汉台区东一环路中饮办公中心8楼820室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1,106,724.85</w:t>
      </w:r>
    </w:p>
    <w:p>
      <w:pPr>
        <w:pStyle w:val="null3"/>
      </w:pPr>
      <w:r>
        <w:rPr>
          <w:rFonts w:ascii="仿宋_GB2312" w:hAnsi="仿宋_GB2312" w:cs="仿宋_GB2312" w:eastAsia="仿宋_GB2312"/>
        </w:rPr>
        <w:t>采购包最高限价（元）: 1,106,724.85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2026年镇巴县渔渡镇渔渡坝社区果蔬连体大棚建设项目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1,106,724.85</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标的名称：2026年镇巴县渔渡镇渔渡坝社区果蔬连体大棚建设项目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b/>
                <w:color w:val="000000"/>
              </w:rPr>
              <w:t>202</w:t>
            </w:r>
            <w:r>
              <w:rPr>
                <w:rFonts w:ascii="仿宋_GB2312" w:hAnsi="仿宋_GB2312" w:cs="仿宋_GB2312" w:eastAsia="仿宋_GB2312"/>
                <w:sz w:val="21"/>
                <w:b/>
                <w:color w:val="000000"/>
              </w:rPr>
              <w:t>6年镇</w:t>
            </w:r>
            <w:r>
              <w:rPr>
                <w:rFonts w:ascii="仿宋_GB2312" w:hAnsi="仿宋_GB2312" w:cs="仿宋_GB2312" w:eastAsia="仿宋_GB2312"/>
                <w:sz w:val="21"/>
                <w:b/>
                <w:color w:val="000000"/>
              </w:rPr>
              <w:t>巴县渔渡镇渔渡坝社区果蔬连体大棚建</w:t>
            </w:r>
          </w:p>
          <w:p>
            <w:pPr>
              <w:pStyle w:val="null3"/>
              <w:jc w:val="center"/>
            </w:pPr>
            <w:r>
              <w:rPr>
                <w:rFonts w:ascii="仿宋_GB2312" w:hAnsi="仿宋_GB2312" w:cs="仿宋_GB2312" w:eastAsia="仿宋_GB2312"/>
                <w:sz w:val="21"/>
                <w:b/>
                <w:color w:val="000000"/>
              </w:rPr>
              <w:t>设项目清单编制说明</w:t>
            </w:r>
          </w:p>
          <w:p>
            <w:pPr>
              <w:pStyle w:val="null3"/>
              <w:jc w:val="left"/>
            </w:pPr>
            <w:r>
              <w:rPr>
                <w:rFonts w:ascii="仿宋_GB2312" w:hAnsi="仿宋_GB2312" w:cs="仿宋_GB2312" w:eastAsia="仿宋_GB2312"/>
                <w:sz w:val="21"/>
                <w:b/>
                <w:color w:val="000000"/>
              </w:rPr>
              <w:t>一、工程概况：</w:t>
            </w:r>
          </w:p>
          <w:p>
            <w:pPr>
              <w:pStyle w:val="null3"/>
              <w:jc w:val="left"/>
            </w:pPr>
            <w:r>
              <w:rPr>
                <w:rFonts w:ascii="仿宋_GB2312" w:hAnsi="仿宋_GB2312" w:cs="仿宋_GB2312" w:eastAsia="仿宋_GB2312"/>
                <w:sz w:val="21"/>
                <w:color w:val="000000"/>
              </w:rPr>
              <w:t>本工程建设地点位于镇巴县渔渡镇鱼渡坝社区。</w:t>
            </w:r>
          </w:p>
          <w:p>
            <w:pPr>
              <w:pStyle w:val="null3"/>
              <w:jc w:val="left"/>
            </w:pPr>
            <w:r>
              <w:rPr>
                <w:rFonts w:ascii="仿宋_GB2312" w:hAnsi="仿宋_GB2312" w:cs="仿宋_GB2312" w:eastAsia="仿宋_GB2312"/>
                <w:sz w:val="21"/>
                <w:color w:val="000000"/>
              </w:rPr>
              <w:t>建设内容为：本工程属温室圆拱式结构</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建筑面积共 </w:t>
            </w:r>
            <w:r>
              <w:rPr>
                <w:rFonts w:ascii="仿宋_GB2312" w:hAnsi="仿宋_GB2312" w:cs="仿宋_GB2312" w:eastAsia="仿宋_GB2312"/>
                <w:sz w:val="21"/>
                <w:color w:val="000000"/>
              </w:rPr>
              <w:t>2560m2</w:t>
            </w:r>
            <w:r>
              <w:rPr>
                <w:rFonts w:ascii="仿宋_GB2312" w:hAnsi="仿宋_GB2312" w:cs="仿宋_GB2312" w:eastAsia="仿宋_GB2312"/>
                <w:sz w:val="21"/>
                <w:color w:val="000000"/>
              </w:rPr>
              <w:t>，温室规格</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柱高 </w:t>
            </w:r>
            <w:r>
              <w:rPr>
                <w:rFonts w:ascii="仿宋_GB2312" w:hAnsi="仿宋_GB2312" w:cs="仿宋_GB2312" w:eastAsia="仿宋_GB2312"/>
                <w:sz w:val="21"/>
                <w:color w:val="000000"/>
              </w:rPr>
              <w:t>4m,</w:t>
            </w:r>
            <w:r>
              <w:rPr>
                <w:rFonts w:ascii="仿宋_GB2312" w:hAnsi="仿宋_GB2312" w:cs="仿宋_GB2312" w:eastAsia="仿宋_GB2312"/>
                <w:sz w:val="21"/>
                <w:color w:val="000000"/>
              </w:rPr>
              <w:t xml:space="preserve">顶高 </w:t>
            </w:r>
            <w:r>
              <w:rPr>
                <w:rFonts w:ascii="仿宋_GB2312" w:hAnsi="仿宋_GB2312" w:cs="仿宋_GB2312" w:eastAsia="仿宋_GB2312"/>
                <w:sz w:val="21"/>
                <w:color w:val="000000"/>
              </w:rPr>
              <w:t>5.9m,</w:t>
            </w:r>
            <w:r>
              <w:rPr>
                <w:rFonts w:ascii="仿宋_GB2312" w:hAnsi="仿宋_GB2312" w:cs="仿宋_GB2312" w:eastAsia="仿宋_GB2312"/>
                <w:sz w:val="21"/>
                <w:color w:val="000000"/>
              </w:rPr>
              <w:t xml:space="preserve">外遮阳约 </w:t>
            </w:r>
            <w:r>
              <w:rPr>
                <w:rFonts w:ascii="仿宋_GB2312" w:hAnsi="仿宋_GB2312" w:cs="仿宋_GB2312" w:eastAsia="仿宋_GB2312"/>
                <w:sz w:val="21"/>
                <w:color w:val="000000"/>
              </w:rPr>
              <w:t>6.3m</w:t>
            </w:r>
            <w:r>
              <w:rPr>
                <w:rFonts w:ascii="仿宋_GB2312" w:hAnsi="仿宋_GB2312" w:cs="仿宋_GB2312" w:eastAsia="仿宋_GB2312"/>
                <w:sz w:val="21"/>
                <w:color w:val="000000"/>
              </w:rPr>
              <w:t xml:space="preserve">，跨度 </w:t>
            </w:r>
            <w:r>
              <w:rPr>
                <w:rFonts w:ascii="仿宋_GB2312" w:hAnsi="仿宋_GB2312" w:cs="仿宋_GB2312" w:eastAsia="仿宋_GB2312"/>
                <w:sz w:val="21"/>
                <w:color w:val="000000"/>
              </w:rPr>
              <w:t xml:space="preserve">80 </w:t>
            </w:r>
            <w:r>
              <w:rPr>
                <w:rFonts w:ascii="仿宋_GB2312" w:hAnsi="仿宋_GB2312" w:cs="仿宋_GB2312" w:eastAsia="仿宋_GB2312"/>
                <w:sz w:val="21"/>
                <w:color w:val="000000"/>
              </w:rPr>
              <w:t>米</w:t>
            </w:r>
            <w:r>
              <w:rPr>
                <w:rFonts w:ascii="仿宋_GB2312" w:hAnsi="仿宋_GB2312" w:cs="仿宋_GB2312" w:eastAsia="仿宋_GB2312"/>
                <w:sz w:val="21"/>
                <w:color w:val="000000"/>
              </w:rPr>
              <w:t xml:space="preserve">,8 </w:t>
            </w:r>
            <w:r>
              <w:rPr>
                <w:rFonts w:ascii="仿宋_GB2312" w:hAnsi="仿宋_GB2312" w:cs="仿宋_GB2312" w:eastAsia="仿宋_GB2312"/>
                <w:sz w:val="21"/>
                <w:color w:val="000000"/>
              </w:rPr>
              <w:t>米</w:t>
            </w:r>
            <w:r>
              <w:rPr>
                <w:rFonts w:ascii="仿宋_GB2312" w:hAnsi="仿宋_GB2312" w:cs="仿宋_GB2312" w:eastAsia="仿宋_GB2312"/>
                <w:sz w:val="21"/>
                <w:color w:val="000000"/>
              </w:rPr>
              <w:t>/</w:t>
            </w:r>
            <w:r>
              <w:rPr>
                <w:rFonts w:ascii="仿宋_GB2312" w:hAnsi="仿宋_GB2312" w:cs="仿宋_GB2312" w:eastAsia="仿宋_GB2312"/>
                <w:sz w:val="21"/>
                <w:color w:val="000000"/>
              </w:rPr>
              <w:t>跨</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共 </w:t>
            </w:r>
            <w:r>
              <w:rPr>
                <w:rFonts w:ascii="仿宋_GB2312" w:hAnsi="仿宋_GB2312" w:cs="仿宋_GB2312" w:eastAsia="仿宋_GB2312"/>
                <w:sz w:val="21"/>
                <w:color w:val="000000"/>
              </w:rPr>
              <w:t xml:space="preserve">10 </w:t>
            </w:r>
            <w:r>
              <w:rPr>
                <w:rFonts w:ascii="仿宋_GB2312" w:hAnsi="仿宋_GB2312" w:cs="仿宋_GB2312" w:eastAsia="仿宋_GB2312"/>
                <w:sz w:val="21"/>
                <w:color w:val="000000"/>
              </w:rPr>
              <w:t xml:space="preserve">跨，开间 </w:t>
            </w:r>
            <w:r>
              <w:rPr>
                <w:rFonts w:ascii="仿宋_GB2312" w:hAnsi="仿宋_GB2312" w:cs="仿宋_GB2312" w:eastAsia="仿宋_GB2312"/>
                <w:sz w:val="21"/>
                <w:color w:val="000000"/>
              </w:rPr>
              <w:t xml:space="preserve">32 </w:t>
            </w:r>
            <w:r>
              <w:rPr>
                <w:rFonts w:ascii="仿宋_GB2312" w:hAnsi="仿宋_GB2312" w:cs="仿宋_GB2312" w:eastAsia="仿宋_GB2312"/>
                <w:sz w:val="21"/>
                <w:color w:val="000000"/>
              </w:rPr>
              <w:t xml:space="preserve">米 </w:t>
            </w: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米</w:t>
            </w:r>
            <w:r>
              <w:rPr>
                <w:rFonts w:ascii="仿宋_GB2312" w:hAnsi="仿宋_GB2312" w:cs="仿宋_GB2312" w:eastAsia="仿宋_GB2312"/>
                <w:sz w:val="21"/>
                <w:color w:val="000000"/>
              </w:rPr>
              <w:t>/</w:t>
            </w:r>
            <w:r>
              <w:rPr>
                <w:rFonts w:ascii="仿宋_GB2312" w:hAnsi="仿宋_GB2312" w:cs="仿宋_GB2312" w:eastAsia="仿宋_GB2312"/>
                <w:sz w:val="21"/>
                <w:color w:val="000000"/>
              </w:rPr>
              <w:t>间</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共 </w:t>
            </w:r>
            <w:r>
              <w:rPr>
                <w:rFonts w:ascii="仿宋_GB2312" w:hAnsi="仿宋_GB2312" w:cs="仿宋_GB2312" w:eastAsia="仿宋_GB2312"/>
                <w:sz w:val="21"/>
                <w:color w:val="000000"/>
              </w:rPr>
              <w:t xml:space="preserve">8 </w:t>
            </w:r>
            <w:r>
              <w:rPr>
                <w:rFonts w:ascii="仿宋_GB2312" w:hAnsi="仿宋_GB2312" w:cs="仿宋_GB2312" w:eastAsia="仿宋_GB2312"/>
                <w:sz w:val="21"/>
                <w:color w:val="000000"/>
              </w:rPr>
              <w:t>间。</w:t>
            </w:r>
          </w:p>
          <w:p>
            <w:pPr>
              <w:pStyle w:val="null3"/>
              <w:jc w:val="left"/>
            </w:pPr>
            <w:r>
              <w:rPr>
                <w:rFonts w:ascii="仿宋_GB2312" w:hAnsi="仿宋_GB2312" w:cs="仿宋_GB2312" w:eastAsia="仿宋_GB2312"/>
                <w:sz w:val="21"/>
                <w:b/>
                <w:color w:val="000000"/>
              </w:rPr>
              <w:t>二、编制依据：</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2026</w:t>
            </w:r>
            <w:r>
              <w:rPr>
                <w:rFonts w:ascii="仿宋_GB2312" w:hAnsi="仿宋_GB2312" w:cs="仿宋_GB2312" w:eastAsia="仿宋_GB2312"/>
                <w:sz w:val="21"/>
                <w:color w:val="000000"/>
              </w:rPr>
              <w:t>年镇巴县渔渡镇渔渡坝社区果蔬连体大棚建设项目设计图纸；</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、陕西省建设工程工程量清单计价标准及计算标准</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、与本工程相关的标准、规范等技术资料；</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、陕西省建设工程费用规则（</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）、陕西省房屋建筑与装饰工程基价</w:t>
            </w:r>
            <w:r>
              <w:rPr>
                <w:rFonts w:ascii="仿宋_GB2312" w:hAnsi="仿宋_GB2312" w:cs="仿宋_GB2312" w:eastAsia="仿宋_GB2312"/>
                <w:sz w:val="21"/>
                <w:color w:val="000000"/>
              </w:rPr>
              <w:t>表（</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）、陕西省通用安装工程基价表（</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 xml:space="preserve">）、陕西省房屋建筑与装饰 </w:t>
            </w:r>
            <w:r>
              <w:rPr>
                <w:rFonts w:ascii="仿宋_GB2312" w:hAnsi="仿宋_GB2312" w:cs="仿宋_GB2312" w:eastAsia="仿宋_GB2312"/>
                <w:sz w:val="21"/>
                <w:color w:val="000000"/>
              </w:rPr>
              <w:t>工程消耗量定额（</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）、陕西省通用安装工程消耗量定额（</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 xml:space="preserve">）、陕西 </w:t>
            </w:r>
            <w:r>
              <w:rPr>
                <w:rFonts w:ascii="仿宋_GB2312" w:hAnsi="仿宋_GB2312" w:cs="仿宋_GB2312" w:eastAsia="仿宋_GB2312"/>
                <w:sz w:val="21"/>
                <w:color w:val="000000"/>
              </w:rPr>
              <w:t>省建设工程施工机械台班费用定额（</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 xml:space="preserve">）、陕西省建设工程施工仪器仪表 </w:t>
            </w:r>
            <w:r>
              <w:rPr>
                <w:rFonts w:ascii="仿宋_GB2312" w:hAnsi="仿宋_GB2312" w:cs="仿宋_GB2312" w:eastAsia="仿宋_GB2312"/>
                <w:sz w:val="21"/>
                <w:color w:val="000000"/>
              </w:rPr>
              <w:t>台班费用定额（</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）及其他相关计价依据和办法；</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、主要材料价格按照汉中市工程造价管理办公室发布的《汉中建设工程 </w:t>
            </w:r>
            <w:r>
              <w:rPr>
                <w:rFonts w:ascii="仿宋_GB2312" w:hAnsi="仿宋_GB2312" w:cs="仿宋_GB2312" w:eastAsia="仿宋_GB2312"/>
                <w:sz w:val="21"/>
                <w:color w:val="000000"/>
              </w:rPr>
              <w:t>造价信息》</w:t>
            </w:r>
            <w:r>
              <w:rPr>
                <w:rFonts w:ascii="仿宋_GB2312" w:hAnsi="仿宋_GB2312" w:cs="仿宋_GB2312" w:eastAsia="仿宋_GB2312"/>
                <w:sz w:val="21"/>
                <w:color w:val="000000"/>
              </w:rPr>
              <w:t xml:space="preserve">2026 </w:t>
            </w:r>
            <w:r>
              <w:rPr>
                <w:rFonts w:ascii="仿宋_GB2312" w:hAnsi="仿宋_GB2312" w:cs="仿宋_GB2312" w:eastAsia="仿宋_GB2312"/>
                <w:sz w:val="21"/>
                <w:color w:val="000000"/>
              </w:rPr>
              <w:t xml:space="preserve">年第 </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期材料价格及结合当前市场价计入；</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 xml:space="preserve">、使用广联达计价软件 </w:t>
            </w:r>
            <w:r>
              <w:rPr>
                <w:rFonts w:ascii="仿宋_GB2312" w:hAnsi="仿宋_GB2312" w:cs="仿宋_GB2312" w:eastAsia="仿宋_GB2312"/>
                <w:sz w:val="21"/>
                <w:color w:val="000000"/>
              </w:rPr>
              <w:t xml:space="preserve">GCCP7.0 </w:t>
            </w:r>
            <w:r>
              <w:rPr>
                <w:rFonts w:ascii="仿宋_GB2312" w:hAnsi="仿宋_GB2312" w:cs="仿宋_GB2312" w:eastAsia="仿宋_GB2312"/>
                <w:sz w:val="21"/>
                <w:color w:val="000000"/>
              </w:rPr>
              <w:t>编制。</w:t>
            </w:r>
          </w:p>
          <w:p>
            <w:pPr>
              <w:pStyle w:val="null3"/>
              <w:jc w:val="left"/>
            </w:pPr>
            <w:r>
              <w:rPr>
                <w:rFonts w:ascii="仿宋_GB2312" w:hAnsi="仿宋_GB2312" w:cs="仿宋_GB2312" w:eastAsia="仿宋_GB2312"/>
                <w:sz w:val="21"/>
                <w:b/>
                <w:color w:val="000000"/>
              </w:rPr>
              <w:t>三、相关问题说明：</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使用广联达计价软件 </w:t>
            </w:r>
            <w:r>
              <w:rPr>
                <w:rFonts w:ascii="仿宋_GB2312" w:hAnsi="仿宋_GB2312" w:cs="仿宋_GB2312" w:eastAsia="仿宋_GB2312"/>
                <w:sz w:val="21"/>
                <w:color w:val="000000"/>
              </w:rPr>
              <w:t xml:space="preserve">GCCP7.0 </w:t>
            </w:r>
            <w:r>
              <w:rPr>
                <w:rFonts w:ascii="仿宋_GB2312" w:hAnsi="仿宋_GB2312" w:cs="仿宋_GB2312" w:eastAsia="仿宋_GB2312"/>
                <w:sz w:val="21"/>
                <w:color w:val="000000"/>
              </w:rPr>
              <w:t>编制</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本项目设置暂列金 </w:t>
            </w:r>
            <w:r>
              <w:rPr>
                <w:rFonts w:ascii="仿宋_GB2312" w:hAnsi="仿宋_GB2312" w:cs="仿宋_GB2312" w:eastAsia="仿宋_GB2312"/>
                <w:sz w:val="21"/>
                <w:color w:val="000000"/>
              </w:rPr>
              <w:t xml:space="preserve">60000.00 </w:t>
            </w:r>
            <w:r>
              <w:rPr>
                <w:rFonts w:ascii="仿宋_GB2312" w:hAnsi="仿宋_GB2312" w:cs="仿宋_GB2312" w:eastAsia="仿宋_GB2312"/>
                <w:sz w:val="21"/>
                <w:color w:val="000000"/>
              </w:rPr>
              <w:t>元</w:t>
            </w:r>
          </w:p>
          <w:p>
            <w:pPr>
              <w:pStyle w:val="null3"/>
              <w:jc w:val="left"/>
            </w:pPr>
            <w:r>
              <w:rPr>
                <w:rFonts w:ascii="仿宋_GB2312" w:hAnsi="仿宋_GB2312" w:cs="仿宋_GB2312" w:eastAsia="仿宋_GB2312"/>
                <w:sz w:val="21"/>
                <w:b/>
                <w:color w:val="000000"/>
              </w:rPr>
              <w:t>四、工程工期：210日历天。</w:t>
            </w:r>
          </w:p>
          <w:p>
            <w:pPr>
              <w:pStyle w:val="null3"/>
              <w:jc w:val="left"/>
            </w:pPr>
            <w:r>
              <w:rPr>
                <w:rFonts w:ascii="仿宋_GB2312" w:hAnsi="仿宋_GB2312" w:cs="仿宋_GB2312" w:eastAsia="仿宋_GB2312"/>
                <w:sz w:val="21"/>
                <w:b/>
                <w:color w:val="000000"/>
              </w:rPr>
              <w:t>五、工程质量：合格。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工期：210日历天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供应商具有行政主管部门核发的建筑工程施工总承包三级（含三级）及以上资质，且具有有效的安全生产许可证，供应商需在项目电子化交易系统中按要求上传相应证明文件并进行电子签章；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拟派项目经理须具备建筑工程专业二级（含二级）以上注册建造师资格和安全生产考核合格B证，且无在建项目，供应商需在项目电子化交易系统中按要求上传相应证明文件并进行电子签章；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 主要人员简历表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具体按照财政部《 关于推动解决政府采购异常低价问题的通知》 （财库[2026]2号）文件执行。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响应文件封面 已标价工程量清单 项目管理机构组成表 技术响应方案.docx 中小企业声明函 残疾人福利性单位声明函 技术服务合同条款及其他商务要求应答表 供应商类似项目业绩一览表 供应商应提交的相关资格证明文件.docx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按照磋商文件要求提交保证金</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一、评审内容：供应商针对本项目编制完善的施工方案， 内容包含但不限于：①项目总体概况表述；② 施工方法（工艺）；③施工次序；④施工准备：技术准备、材料准备、机械准备、劳动力准备等； ⑤工程重难点及解决措施；二、评审标准：1、完整性：方案必须全面，对评审内容中的各项要求有详细描述；2、可实施性：切合本项目实际情况，提出步骤清晰、合理的方案；3、针对性：方案能够紧扣项目实际情况，内容科学合理。 三、赋分标准（满分15分，针对每条评审标准，如存在不合理的方面每处扣0.5分，扣完为止）： ①项目总体概况表述：每完全满足一个评审标准得1分，满分3分； ②施工方法（工艺）：每完全满足一个评审标准得1分，满分3分； ③施工次序：每完全满足一个评审标准得1分，满分3分；④施工准备：每完全满足一个评审标准得1分，满分3分；⑤工程重难点及解决措施：每完全满足一个评审标准得1分，满分3分；四、未提供者不得分。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 ①施工进度目标及重要节点安排；②施工进度网络图或施工进度表；③进度计划保证措施；④遇汛期、雨期、高温期等情况的工期保证措施。 二、评审标准 ：1 、完整性：方案必须全面，对评审内容中的各项要求有详细描述；2 、可实施性： 切合本项目实际情况，提出步骤清晰、合理的方案；3 、针对性：方案能够紧扣项目实际情况，内容科学合理。 三、赋分标准（满分12分，针对每条评审标准，如存在不合理的方面每处扣0.5分，扣完为止）： ①施工进度目标及重要节点安排：每完全满足一个评审标准得1分，满分3分； ②施工进度网络图或施工进度表 ：每完全满足一个评审标准得1分，满分3分； ③进度计划保证措施：每完全满足一个评审标准得1分，满分3分；④遇汛期、雨期、高温期等情况的工期保证措施：每完全满足一个评审标准得1分，满分3分；四、未提供者不得分。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一、评审内容：供应商针对本项目编制完善的质量保证措施，内容包含但不限于：①质量管理工作流程；②工程质量保证方案；③工程质量控制体系；④各施工阶段质量管理措施。 二、评审标准 ：1、完整性：方案必须全面，对评审内容中的各项要求有详细描述； 2、可实施性：切合本项目实际情况，提出步骤清晰、合理的方案； 3、针对性：方案能够紧扣项目实际情况，内容科学合理。 三、赋分标准 （满分12分，针对每条评审标准，如存在不合理的方面每处扣0.5分，扣完为止）： ①质量管理工作流程：每完全满足一个评审标准得1分，满分3分； ②工程质量保证方案：每完全满足一个评审标准得1分，满分3分； ③施工质量控制措施：每完全满足一个评审标准得1 分，满分3分；④各施工阶段质量管理措施：每完全满足一个评审标准得1 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一、评审内容：投标人针对本项目编制完善的安全保证措施，内容包含但不限于：①安全生产管理制度； ②安全保证措施； ③安全施工应急预案；二、评审标准：1 、完整性：方案必须全面，对评审内容中的各项要求有详细描述； 2、可实施性：切合本项目实际情况，提出步骤清晰、合理的方案； 3、针对性：方案能够紧扣项目实际情况，内容科学合理。 三、赋分标准（满分9分，针对每条评审标准，如存在不合理的方面每处扣0.5分，扣完为止）： ①安全生产管理制度：每完全满足一个评审标准得1分，满分3分； ②安全保证措施：每完全满足一个评审标准得1分 , 满分3分；③安全施工应急预案：每完全满足一个评审标准得1分，满分3分；四、未提供者不得分。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文明施工和环境保护措施</w:t>
            </w:r>
          </w:p>
        </w:tc>
        <w:tc>
          <w:tcPr>
            <w:tcW w:type="dxa" w:w="2492"/>
          </w:tcPr>
          <w:p>
            <w:pPr>
              <w:pStyle w:val="null3"/>
            </w:pPr>
            <w:r>
              <w:rPr>
                <w:rFonts w:ascii="仿宋_GB2312" w:hAnsi="仿宋_GB2312" w:cs="仿宋_GB2312" w:eastAsia="仿宋_GB2312"/>
              </w:rPr>
              <w:t>一、评审内容：投标人针对本项目编制完善的文明施工和环境保护措施，内容包含但不限于：①文明施工保证措施；②环境保护控制措施：污染物及废弃物处理的排放、噪音控制、防尘及扬尘的控制措施。二、评审标准：1 、完整性：方案必须全面，对评审内容中的各项要求有详细描述； 2、可实施性：切合本项目实际情况，提出步骤清晰、合理的方案； 3、针对性：方案能够紧扣项目实际情况，内容科学合理。三、赋分标准（满分6分，针对每条评审标准，如存在不合理的方面每处扣0.5分，扣完为止）：①文明施工保证措施 ：每完全满足一个评审标准得1分 , 满分3分； ②环境保护控制措施：每完全满足一个评审标准得1分，满分3分；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 ①项目成员配置清单及架构；项目组配备人员的专业素质、人员结构； ② 项目成员的主要职责及工作内容。 二、评审标准 ： 1 、完整性：方案必须全面，对评审内容中的各项要求有详细描述 ； 2 、可实施性：切合本项目实际情况，提出步骤清晰、合理的方案 ； 3 、针对性：方案能够紧扣项目实际情况，内容科学合理。 三、赋分标准（满分6分，针对每条评审标准，如存在不合理的方面每处扣0.5分，扣完为止） ①项目成员配置清单及架构；项目组配备人员的专业素质、人员结构：每完全满足一个评审标准得1分，满分3分； ②项目成员的主要职责及工作内容：每完全满足一个评审标准得1分，满分3分；四、未提供者不得分。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 ①劳动力资源配置计划； ②主要施工机械设备及主要材料配置计划。 二、评审标准： 1 、完整性：方案必须全面，对评审内容中的各项要求有详细描述； 2 、可实施性：切合本项目实际情况 , 提出步骤清晰、合理的方案； 3 、针对性：方案能够紧扣项目实际情况，内容科学合理。 三、赋分标准（满分6分，针对每条评审标准，如存在不合理的方面每处扣0.5分，扣完为止）：①劳动力资源配置计划：每完全满足一个评审标准得1分，满分3分； ②主要施工机械设备及主要材料配置计划：每完全满足一个评审标准得1分，满分3分；四、未提供者不得分。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1月1日（以签订合同时间为准）至今完成的类似项目业绩，每提供一个合格业绩得2分，满分4分。未提供此项内容不得分。注：业绩以中标或成交通知书、合同协议书为准，响应文件内附相关资料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详见附件：技术响应方案.docx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