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69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合同包1-采购需求（铜川市监测站无线电管理网络与信息安全保障能力提升服务）</w:t>
      </w:r>
    </w:p>
    <w:p w14:paraId="59D758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一、项目总体要求</w:t>
      </w:r>
    </w:p>
    <w:p w14:paraId="13244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1、服务商须按照《中华人民共和国网络安全法》《中华人民共和国数据安全法》《中华人民共和国个人信息保护法》及党政机关网络安全、保密管理相关规定，提供全周期网络安全与信息安全保障服务。</w:t>
      </w:r>
    </w:p>
    <w:p w14:paraId="0E67DB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2、严格落实内网、公网物理/逻辑隔离，杜绝非法串接、违规外联、非授权访问、数据泄露等安全风险。</w:t>
      </w:r>
    </w:p>
    <w:p w14:paraId="6C1FA9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3、保障无线电监测业务系统、网络设备、终端设备、服务器安全稳定运行，确保服务期内不发生重大网络安全事件。</w:t>
      </w:r>
    </w:p>
    <w:p w14:paraId="59FBD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4、所有服务流程、台账、报告、记录须规范完整，满足政府采购、安全检查、审计督查要求。</w:t>
      </w:r>
    </w:p>
    <w:p w14:paraId="2A310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二、采购服务内容</w:t>
      </w:r>
    </w:p>
    <w:p w14:paraId="61DF25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（一）双网安全架构与边界防护服务</w:t>
      </w:r>
    </w:p>
    <w:p w14:paraId="5BCB5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 1、负责内网、公网边界安全策略巡检、优化、加固，定期核查防火墙、入侵防御、VPN、上网行为管理等设备运行状态。</w:t>
      </w:r>
    </w:p>
    <w:p w14:paraId="57C16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 2、公网区域重点防护：防DDoS攻击、防勒索病毒、防网页篡改、防暴力破解、防钓鱼邮件威胁。</w:t>
      </w:r>
    </w:p>
    <w:p w14:paraId="12119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 3、内网区域重点防护：防非法接入、防U盘摆渡、防数据外泄、防内网横向渗透、防违规外联。</w:t>
      </w:r>
    </w:p>
    <w:p w14:paraId="6F89B6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 4、每季度开展1次网络边界安全评估，形成安全评估与加固报告。</w:t>
      </w:r>
    </w:p>
    <w:p w14:paraId="41123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（二）终端与服务器安全保障服务</w:t>
      </w:r>
    </w:p>
    <w:p w14:paraId="24186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1、对业务终端、服务器、监测专用设备、网络设备提供安全加固、系统补丁、病毒查杀、恶意代码防护。</w:t>
      </w:r>
    </w:p>
    <w:p w14:paraId="1E45E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2、内网终端实施统一安全管理：USB外设管控、程序白名单、违规外联监控、弱口令整改。</w:t>
      </w:r>
    </w:p>
    <w:p w14:paraId="61E1E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3、公网终端强化安全配置：浏览器安全、邮件安全、防木马、防钓鱼、非法程序拦截。</w:t>
      </w:r>
    </w:p>
    <w:p w14:paraId="17374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4、账号权限实行最小化管理，定期审计，做到专人专用、离岗即销、动态更新。</w:t>
      </w:r>
    </w:p>
    <w:p w14:paraId="16EEC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（三）数据安全与信息保密保障服务</w:t>
      </w:r>
    </w:p>
    <w:p w14:paraId="24A7AF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1、对业务数据、配置参数、日志信息、内部文件进行分级分类保护，实施脱敏、加密、备份管理。</w:t>
      </w:r>
    </w:p>
    <w:p w14:paraId="65CFD0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2、严禁内网敏感信息通过公网传输、存储、外发、上传互联网平台。</w:t>
      </w:r>
    </w:p>
    <w:p w14:paraId="13D046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3、建立数据备份与恢复机制，定期备份并验证可用性，保障数据不丢失、不泄露、不篡改。</w:t>
      </w:r>
    </w:p>
    <w:p w14:paraId="27C63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 xml:space="preserve"> 4、严格遵守保密规定，落实数据防泄露、防窃取、防非法拷贝措施。</w:t>
      </w:r>
    </w:p>
    <w:p w14:paraId="38169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（四）日常安全监测与巡检服务</w:t>
      </w:r>
    </w:p>
    <w:p w14:paraId="4C86D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1、提供7×24小时远程安全监测，实时发现异常流量、攻击行为、违规操作并预警。</w:t>
      </w:r>
    </w:p>
    <w:p w14:paraId="0762DE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2、每月开展1次全覆盖安全巡检，包含漏洞扫描、安全配置核查、弱口令检测、木马后门排查。</w:t>
      </w:r>
    </w:p>
    <w:p w14:paraId="6FC9DC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3、每季度开展1次渗透测试与安全风险评估，出具风险报告并推动闭环整改。</w:t>
      </w:r>
    </w:p>
    <w:p w14:paraId="6F5DE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4、建立标准化安全台账：巡检记录、漏洞记录、处置记录、整改记录，真实完整可追溯。</w:t>
      </w:r>
    </w:p>
    <w:p w14:paraId="52B68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（五）应急响应与安全处置服务</w:t>
      </w:r>
    </w:p>
    <w:p w14:paraId="377915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1、编制《网络与信息安全应急处置预案》，报采购单位备案。</w:t>
      </w:r>
    </w:p>
    <w:p w14:paraId="64E354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2、安全事件响应标准：30分钟内响应，2小时内到达现场，快速完成阻断、清除、恢复、溯源。</w:t>
      </w:r>
    </w:p>
    <w:p w14:paraId="5FED2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3、每年组织不少于2次网络安全应急演练，形成演练方案、过程记录、总结报告。</w:t>
      </w:r>
    </w:p>
    <w:p w14:paraId="23B81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4、配合做好事件调查、取证、上报及善后处置工作。</w:t>
      </w:r>
    </w:p>
    <w:p w14:paraId="0FE58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（六）安全运维与技术支持服务</w:t>
      </w:r>
    </w:p>
    <w:p w14:paraId="343366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1、提供网络设备、安全设备、服务器、应用系统日常安全运维服务。</w:t>
      </w:r>
    </w:p>
    <w:p w14:paraId="05C52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2、安全日志统一归集、分析、审计，留存时间不少于6个月。</w:t>
      </w:r>
    </w:p>
    <w:p w14:paraId="1CE8E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3、提供电话、远程、现场三级技术支撑，保障问题及时处置。</w:t>
      </w:r>
    </w:p>
    <w:p w14:paraId="79DFEE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4、配合完成网络安全检查、等级保护自查、保密检查、上级专项督查等迎检工作。</w:t>
      </w:r>
    </w:p>
    <w:p w14:paraId="67282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（七）安全培训与制度建设服务</w:t>
      </w:r>
    </w:p>
    <w:p w14:paraId="638CD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1、每年开展不少于2次网络安全培训，内容包括双网使用规范、钓鱼防范、U盘管理、口令安全、保密意识等。</w:t>
      </w:r>
    </w:p>
    <w:p w14:paraId="75812A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2、协助完善单位网络安全管理制度：内外网管理、设备管理、数据管理、应急管理、人员管理。</w:t>
      </w:r>
    </w:p>
    <w:p w14:paraId="158CB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24"/>
          <w:szCs w:val="24"/>
          <w:lang w:bidi="ar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3、提供常态化安全咨询、政策解读、合规指导服务。</w:t>
      </w:r>
    </w:p>
    <w:p w14:paraId="7ECCA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-2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三、人员要求</w:t>
      </w:r>
    </w:p>
    <w:p w14:paraId="42B510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1、项目负责人须具有3年及以上安全服务项目管理经验。</w:t>
      </w:r>
    </w:p>
    <w:p w14:paraId="6674F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2、服务人员无违法犯罪记录，身体健康，品行端正，责任心强，服从管理。</w:t>
      </w:r>
    </w:p>
    <w:p w14:paraId="4F5CCE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3、服务人员须签署保密协议，严格遵守采购单位保密规定。</w:t>
      </w:r>
    </w:p>
    <w:p w14:paraId="24800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4、熟悉内网、公网隔离运维规范，熟悉党政机关网络安全管理要求。</w:t>
      </w:r>
    </w:p>
    <w:p w14:paraId="24BD2A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四、服务质量要求</w:t>
      </w:r>
    </w:p>
    <w:p w14:paraId="566A0B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1、服务响应：一般问题2小时内响应；紧急安全事件30分钟内响应。</w:t>
      </w:r>
    </w:p>
    <w:p w14:paraId="0CBAAF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2、规故障24小时内处置完毕，复杂故障及时上报并跟踪闭环。</w:t>
      </w:r>
    </w:p>
    <w:p w14:paraId="39F75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3、巡检、评估、演练、培训、整改等各类资料规范、完整、真实、可追溯。</w:t>
      </w:r>
    </w:p>
    <w:p w14:paraId="35B80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4、服务期内确保无重大网络安全事件、无数据泄露、无内外网违规串接、无系统失陷。</w:t>
      </w:r>
    </w:p>
    <w:p w14:paraId="33E163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5、因服务商失职造成安全事故、数据泄露或财产损失的，由服务商承担全部责任。</w:t>
      </w:r>
    </w:p>
    <w:p w14:paraId="5FD3F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6、采购单位定期考核，考核不合格的限期整改；整改仍不合格的，采购单位有权终止合同。</w:t>
      </w:r>
    </w:p>
    <w:p w14:paraId="6191D4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五、交付物清单</w:t>
      </w:r>
      <w:bookmarkStart w:id="14" w:name="_GoBack"/>
      <w:bookmarkEnd w:id="14"/>
    </w:p>
    <w:p w14:paraId="2A170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1、每月《安全巡检报告》</w:t>
      </w:r>
    </w:p>
    <w:p w14:paraId="36CAD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2、每季度《风险评估与渗透测试报告》</w:t>
      </w:r>
    </w:p>
    <w:p w14:paraId="629EAA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3、每季度《安全加固与整改报告》</w:t>
      </w:r>
    </w:p>
    <w:p w14:paraId="1272E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4、《网络与信息安全应急处置预案》</w:t>
      </w:r>
    </w:p>
    <w:p w14:paraId="37923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5、年度《网络安全保障总结报告》</w:t>
      </w:r>
    </w:p>
    <w:p w14:paraId="568DC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6、应急演练记录、安全培训记录、安全台账、日志审计记录</w:t>
      </w:r>
    </w:p>
    <w:p w14:paraId="20DB34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beforeLines="-2147483648" w:beforeAutospacing="0" w:after="200" w:afterAutospacing="0"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kern w:val="0"/>
          <w:sz w:val="24"/>
          <w:szCs w:val="24"/>
          <w:lang w:val="en-US" w:eastAsia="zh-CN"/>
        </w:rPr>
        <w:t>六、其他要求</w:t>
      </w:r>
    </w:p>
    <w:p w14:paraId="5CD69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1、服务商须严格遵守国家网络安全、数据安全、保密相关法律法规及采购单位内部管理规定。</w:t>
      </w:r>
    </w:p>
    <w:p w14:paraId="3C2A7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2、服务期间未经采购单位书面允许，不得复制、传播、泄露任何系统数据、业务信息与内部资料。</w:t>
      </w:r>
    </w:p>
    <w:p w14:paraId="2EFBD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 w:beforeAutospacing="0" w:afterAutospacing="0"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3、本采购需求为合同核心组成部分，与采购合同具有同等法律效力。</w:t>
      </w:r>
    </w:p>
    <w:p w14:paraId="517035D6">
      <w:pPr>
        <w:widowControl/>
        <w:spacing w:line="360" w:lineRule="auto"/>
        <w:ind w:firstLine="723" w:firstLineChars="200"/>
        <w:jc w:val="center"/>
        <w:outlineLvl w:val="9"/>
        <w:rPr>
          <w:rFonts w:ascii="仿宋" w:hAnsi="仿宋" w:eastAsia="仿宋" w:cs="仿宋"/>
          <w:b/>
          <w:bCs/>
          <w:sz w:val="36"/>
          <w:szCs w:val="36"/>
        </w:rPr>
        <w:sectPr>
          <w:pgSz w:w="11906" w:h="16838"/>
          <w:pgMar w:top="1417" w:right="1249" w:bottom="1417" w:left="1417" w:header="850" w:footer="992" w:gutter="0"/>
          <w:pgNumType w:fmt="numberInDash"/>
          <w:cols w:space="0" w:num="1"/>
          <w:docGrid w:type="lines" w:linePitch="312" w:charSpace="0"/>
        </w:sectPr>
      </w:pPr>
    </w:p>
    <w:p w14:paraId="01C94E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3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b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合同包2-采购需求（无线电监测技术设施运行维护）</w:t>
      </w:r>
    </w:p>
    <w:p w14:paraId="7A151B26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一、项目基本信息</w:t>
      </w:r>
    </w:p>
    <w:p w14:paraId="45636148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1.服务地点：铜川市无线电监测站新区分站、王益分站、宜君分站。</w:t>
      </w:r>
    </w:p>
    <w:p w14:paraId="71AD5344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.服务范围：对三个分站现有十大类技术设施进行全面维保维护，具体包括：动环系统、安防系统、不间断电源供电系统、消防设施、网络设施、机房空调设备、防雷设施、应急通信系统、行政执法系统、无线电指挥中心及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室技术设施。</w:t>
      </w:r>
    </w:p>
    <w:p w14:paraId="196698B8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0" w:name="heading_1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二、采购核心需求</w:t>
      </w:r>
      <w:bookmarkEnd w:id="0"/>
    </w:p>
    <w:p w14:paraId="5039BE25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本次采购核心为三个分站十大类技术设施为期1年的专业化维保维护服务，服务商需遵循《无线电监测机房运行维护规范》等相关标准，建立完善的维保体系，通过日常巡检、定期检测、故障抢修、应急处置、技术支持等方式，确保所有设施正常运行、性能达标，保障无线电监测、行政执法、应急通信等工作有序开展，具体维保要求如下：</w:t>
      </w:r>
    </w:p>
    <w:p w14:paraId="68778378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1" w:name="heading_2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（一）动环系统维保维护</w:t>
      </w:r>
      <w:bookmarkEnd w:id="1"/>
    </w:p>
    <w:p w14:paraId="2DEE70BB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1.日常巡检：每周对三个分站动环系统（含温湿度监测、漏水监测、供电监测、门禁监测等模块）进行1次全面巡检，检查传感器、控制器、传输模块运行状态，确保数据采集准确、传输畅通，无异常告警。</w:t>
      </w:r>
    </w:p>
    <w:p w14:paraId="02D099C0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2.定期检测：每季度对系统进行1次全面检测，校准各类传感器精度，检查系统软件运行状态，优化系统参数，确保系统响应及时、监测精准，符合动力环境安全基线标准相关要求。</w:t>
      </w:r>
    </w:p>
    <w:p w14:paraId="32EFB4E5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3.故障处置：接到系统故障告警或采购单位通知后，2小时内响应，24小时内完成故障排查及维修（复杂故障需提前说明情况，明确维修时限并跟踪落实），更换损坏部件需选用与原设备兼容的合格产品。</w:t>
      </w:r>
    </w:p>
    <w:p w14:paraId="08C77D3F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4.日常维护：定期清理系统设备灰尘，检查线路连接情况，备份系统数据，每半年进行1次系统升级优化，确保系统稳定运行，建立完整的维保台账。</w:t>
      </w:r>
    </w:p>
    <w:p w14:paraId="59A12F91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2" w:name="heading_3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（二）安防系统维保维护</w:t>
      </w:r>
      <w:bookmarkEnd w:id="2"/>
    </w:p>
    <w:p w14:paraId="2C9AD04A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1.日常巡检：每周对三个分站安防系统（含视频监控、门禁控制、周界防护等）进行1次巡检，检查摄像头、报警器、门禁读卡器、控制器等设备运行状态，确保监控画面清晰、报警灵敏、门禁正常。</w:t>
      </w:r>
    </w:p>
    <w:p w14:paraId="5B035AD1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季度对系统进行1次全面检测，测试监控覆盖范围、报警响应速度、门禁识别准确率，检查视频存储设备运行状态，确保存储时长符合采购单位要求（不少于30天），符合安全防范视频监控联网系统相关技术要求。</w:t>
      </w:r>
    </w:p>
    <w:p w14:paraId="3FE1915A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3.故障处置：接到故障通知后，2小时内响应，一般故障24小时内修复，复杂故障（如摄像头更换、线路改造）48小时内修复，确保安防系统无盲区、无故障运行，遵循安防系统维保规范要求。</w:t>
      </w:r>
    </w:p>
    <w:p w14:paraId="567FD411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4.日常维护：定期清洁摄像头镜头、门禁读卡器，检查线路接口，排查线路老化、松动等隐患，每半年对系统软件进行1次升级，定期备份监控录像，建立维保记录。</w:t>
      </w:r>
    </w:p>
    <w:p w14:paraId="28361FAC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3" w:name="heading_4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（三）不间断电源供电系统维保维护</w:t>
      </w:r>
      <w:bookmarkEnd w:id="3"/>
    </w:p>
    <w:p w14:paraId="3D9BB127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1.日常巡检：每周对三个分站不间断电源（UPS）系统进行1次巡检，检查主机运行状态、电池组电压、负载情况，查看有无异响、异味、过热等异常现象，确保系统正常供电。</w:t>
      </w:r>
    </w:p>
    <w:p w14:paraId="2A7F7A3C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季度对UPS主机进行1次全面检测，测试输出电压、电流、频率等参数，每半年对电池组进行1次充放电测试，检查电池健康状态，及时更换老化、损坏电池，确保UPS满载后备时间满足业务需求，留有至少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分钟余量；每年进行1次系统全面检测校准，符合供配电系统设计规范。</w:t>
      </w:r>
    </w:p>
    <w:p w14:paraId="3E85387B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3.故障处置：接到UPS系统故障通知后，1小时内响应，优先保障核心设备供电，24小时内完成故障维修，避免因供电中断导致监测工作停滞或设备损坏，落实电力系统冗余保障要求。</w:t>
      </w:r>
    </w:p>
    <w:p w14:paraId="78FF38B4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4.日常维护：定期清洁UPS主机及电池组，检查线路连接，保持设备通风良好，每季度对电池组进行1次预防性维护，记录电池运行参数，建立电池维护台账。</w:t>
      </w:r>
    </w:p>
    <w:p w14:paraId="5BD8879B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4" w:name="heading_5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（四）消防设施维保维护</w:t>
      </w:r>
      <w:bookmarkEnd w:id="4"/>
    </w:p>
    <w:p w14:paraId="1DD3D99B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1.日常巡检：每周对三个分站消防设施（含灭火器、消防栓、火灾自动报警系统、应急照明、疏散指示标志等）进行1次巡检，检查设施完好性、有效性，确保无过期、损坏、缺失等情况，符合建筑设计防火规范。</w:t>
      </w:r>
    </w:p>
    <w:p w14:paraId="3145D364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2.定期检测：每半年对消防设施进行1次全面检测，测试火灾报警系统响应速度、消防栓供水压力、灭火器灭火性能，更换过期灭火器及损坏部件，符合气体灭火系统设计规范。</w:t>
      </w:r>
    </w:p>
    <w:p w14:paraId="31E7FD11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3.故障处置：接到消防设施故障通知后，2小时内响应，24小时内完成维修或更换，确保消防设施随时处于有效状态，能够及时应对火灾隐患。</w:t>
      </w:r>
    </w:p>
    <w:p w14:paraId="02AAF2FA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4.日常维护：定期清洁消防设施，排查消防通道堵塞、线路老化等隐患，每季度组织1次消防设施使用培训，配合采购单位开展消防应急演练，建立消防维保台账。</w:t>
      </w:r>
    </w:p>
    <w:p w14:paraId="27DA596A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5" w:name="heading_6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（五）网络设施维保维护</w:t>
      </w:r>
      <w:bookmarkEnd w:id="5"/>
    </w:p>
    <w:p w14:paraId="66C7D276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1.日常巡检：每周对三个分站网络设施（含路由器、交换机、防火墙、网线、光纤等）进行1次巡检，检查设备运行状态、网络连接稳定性，排查网络卡顿、断网等隐患，确保网络畅通。</w:t>
      </w:r>
    </w:p>
    <w:p w14:paraId="5C0D2FA5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2.定期检测：每季度对网络系统进行1次全面检测，测试网络带宽、传输速率、安全性，检查网络设备配置，优化网络性能，每半年对网络线路进行1次测试，排查线路损耗、老化等问题。</w:t>
      </w:r>
    </w:p>
    <w:p w14:paraId="09CD7C20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3.故障处置：接到网络故障通知后，1小时内响应，一般故障24小时内修复，复杂网络故障（如光纤维修、设备更换）48小时内修复，确保监测数据、行政执法数据正常传输。</w:t>
      </w:r>
    </w:p>
    <w:p w14:paraId="007FD915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4.日常维护：定期清洁网络设备，检查线路连接，备份网络配置，每半年对网络设备进行1次固件升级、病毒查杀，防范网络安全风险，建立网络维保记录。</w:t>
      </w:r>
    </w:p>
    <w:p w14:paraId="1E067C20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6" w:name="heading_7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（六）机房空调设备维保维护</w:t>
      </w:r>
      <w:bookmarkEnd w:id="6"/>
    </w:p>
    <w:p w14:paraId="120A0766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1.日常巡检：每周对三个分站机房空调进行1次巡检，检查空调运行状态、制冷/制热效果、温度湿度控制精度，查看有无异响、漏水、漏氟等异常现象，确保机房环境温度、湿度符合电子信息系统机房设计规范。</w:t>
      </w:r>
    </w:p>
    <w:p w14:paraId="16A0361C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2.定期检测：每半年对空调设备进行1次全面检测，清洗空调滤网、蒸发器、冷凝器，检查制冷剂、压缩机、风机等部件运行状态，校准温度湿度传感器，每年进行1次全面保养，确保空调运行稳定、能耗合理。</w:t>
      </w:r>
    </w:p>
    <w:p w14:paraId="3C3D9A33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3.故障处置：接到空调故障通知后，2小时内响应，一般故障24小时内修复，复杂故障（如压缩机更换、漏氟维修）48小时内修复，避免因机房温湿度异常损坏监测设备。</w:t>
      </w:r>
    </w:p>
    <w:p w14:paraId="2CF718D0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4.日常维护：定期清理空调周边杂物，保持设备通风良好，记录空调运行参数，排查设备老化、部件损耗等隐患，建立空调维保台账。</w:t>
      </w:r>
    </w:p>
    <w:p w14:paraId="45985A10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7" w:name="heading_8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（七）防雷设施维保维护</w:t>
      </w:r>
      <w:bookmarkEnd w:id="7"/>
    </w:p>
    <w:p w14:paraId="71B06619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1.日常巡检：每月对三个分站防雷设施（含避雷针、防雷接地装置、防雷器等）进行1次巡检，检查设施完好性、接地连续性，查看有无锈蚀、松动、损坏等情况。</w:t>
      </w:r>
    </w:p>
    <w:p w14:paraId="795AC201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年对防雷设施进行1次全面检测，测试接地电阻（接地电阻值需符合相关标准，不大于4Ω），检查防雷器性能，更换老化、损坏的防雷部件，配合采购单位完成防雷年检，确保防雷设施有效发挥作用，保护设备安全。</w:t>
      </w:r>
    </w:p>
    <w:p w14:paraId="6BE4E458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3.故障处置：接到防雷设施故障通知后，24小时内响应，48小时内完成维修或更换，尤其在雷雨季节前，需重点排查防雷隐患，确保设施正常运行。</w:t>
      </w:r>
    </w:p>
    <w:p w14:paraId="14E554E8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4.日常维护：定期对防雷设施进行除锈、加固处理，检查线路连接，建立防雷维保记录，确保防雷设施符合相关安全标准。</w:t>
      </w:r>
    </w:p>
    <w:p w14:paraId="59E96342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8" w:name="heading_9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（八）应急通信系统维保维护</w:t>
      </w:r>
      <w:bookmarkEnd w:id="8"/>
    </w:p>
    <w:p w14:paraId="6EA386CD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1.日常巡检：每周对三个分站应急通信系统（含应急对讲机、应急通信终端）进行1次巡检，检查设备运行状态、电池电量、通信信号，确保设备随时可投入使用，保障应急处置时通信畅通。</w:t>
      </w:r>
    </w:p>
    <w:p w14:paraId="7468083F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2.定期检测：每季度对系统进行1次全面检测，测试应急通信距离、信号稳定性，检查备用电源续航能力，每半年对设备进行1次充电、校准，每年进行1次系统联调测试，确保应急通信系统响应及时、运行稳定。</w:t>
      </w:r>
    </w:p>
    <w:p w14:paraId="331EAF0D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3.故障处置：接到应急通信设备故障通知后，2小时内响应，24小时内完成维修或更换，确保在突发情况时，应急通信系统能够正常发挥作用，支撑无线电应急保障工作。</w:t>
      </w:r>
    </w:p>
    <w:p w14:paraId="6DDD0951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4.日常维护：定期清洁设备，检查线路连接，备份设备配置，及时更新设备固件，建立应急通信系统维保台账，配合采购单位开展应急通信演练。</w:t>
      </w:r>
    </w:p>
    <w:p w14:paraId="46726BE2">
      <w:pPr>
        <w:snapToGrid/>
        <w:spacing w:before="200" w:beforeAutospacing="0" w:after="200" w:afterAutospacing="0" w:line="240" w:lineRule="auto"/>
        <w:ind w:left="0" w:leftChars="0" w:right="0" w:rightChars="0" w:firstLine="241" w:firstLineChars="1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9" w:name="heading_10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（九）行政执法系统维保维护</w:t>
      </w:r>
      <w:bookmarkEnd w:id="9"/>
    </w:p>
    <w:p w14:paraId="0000B826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行政执法系统（含执法终端、数据采集设备、执法软件等）进行1次巡检，检查设备运行状态、软件登录情况，确保执法数据采集、传输、存储正常，支撑无线电干扰查处、违规行为整治等专项工作。</w:t>
      </w:r>
    </w:p>
    <w:p w14:paraId="732AE514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2.定期检测：每半年对系统进行1次全面检测，测试执法终端性能、数据传输速度，检查软件运行稳定性，优化软件配置，每年进行1次系统升级，确保系统符合行政执法工作需求。</w:t>
      </w:r>
    </w:p>
    <w:p w14:paraId="6BB9E63D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3.故障处置：接到系统故障通知后，2小时内响应，24小时内完成故障排查及维修，确保执法工作正常开展，避免因系统故障影响执法效率。</w:t>
      </w:r>
    </w:p>
    <w:p w14:paraId="035C8EEA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4.日常维护：定期备份执法数据，检查设备存储容量，清理系统垃圾，排查软件漏洞，提供必要的技术支持，协助采购单位解决执法过程中遇到的系统相关问题，建立行政执法系统维保记录。</w:t>
      </w:r>
    </w:p>
    <w:p w14:paraId="5D2835C0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10" w:name="heading_11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（十）无线电指挥中心及检测室技术设施维保维护</w:t>
      </w:r>
      <w:bookmarkEnd w:id="10"/>
    </w:p>
    <w:p w14:paraId="52B97CE7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日常巡检：每周对三个分站无线电指挥中心及检测室各类技术设施（含监测接收机、频谱仪、信号发生器、测试仪器等）进行1次巡检，检查设备运行状态、连接情况，确保设备正常开机、性能稳定，符合无线电监测机房运行维护规范。</w:t>
      </w:r>
    </w:p>
    <w:p w14:paraId="36248124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2.定期检测：每季度对设施进行1次全面检测，校准测试仪器精度，检查设备运行参数，优化设备配置，每年进行1次全面保养，确保设施检测精度符合相关标准，能够满足无线电监测、信号检测等工作需求。</w:t>
      </w:r>
    </w:p>
    <w:p w14:paraId="279AFE15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3.故障处置：接到设备故障通知后，2小时内响应，一般故障24小时内修复，复杂技术故障（如专业仪器维修、设备校准）72小时内修复，必要时联系设备厂家协助维修，确保设施尽快恢复正常使用。</w:t>
      </w:r>
    </w:p>
    <w:p w14:paraId="0B52425A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4.日常维护：定期清洁设备，检查线路连接，做好设备防尘、防潮、防静电处理，备份设备配置参数，建立技术设施维保台账，协助采购单位做好设备资产管理。</w:t>
      </w:r>
    </w:p>
    <w:p w14:paraId="4560AD53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11" w:name="heading_12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通用维保要求</w:t>
      </w:r>
      <w:bookmarkEnd w:id="11"/>
    </w:p>
    <w:p w14:paraId="733D5F86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1.服务商需建立完善的维保管理制度，配备专业维保人员，制定详细的日常巡检计划、定期检测计划、应急处置预案，明确岗位职责和工作流程。</w:t>
      </w:r>
    </w:p>
    <w:p w14:paraId="77C7C666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2.所有维保工作需做好详细记录，包括巡检记录、检测记录、故障维修记录、部件更换记录等，每月向采购单位提交1次维保工作报告，每年提交1次年度维保总结报告，确保维保过程可追溯。</w:t>
      </w:r>
    </w:p>
    <w:p w14:paraId="4715F30E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3.维保过程中，服务商需遵守采购单位的各项管理制度，爱护设施设备，避免因操作不当造成设备损坏；如需更换部件，需提前书面告知采购单位，经同意后选用合格产品，更换的旧部件需交采购单位统一处理。</w:t>
      </w:r>
    </w:p>
    <w:p w14:paraId="66301E38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4.服务商需提供7×24小时应急维保服务，确保故障响应及时，重大故障需现场处置的，服务商人员需在规定时间内抵达现场，保障设施尽快恢复运行，确保无线电监测设施完好率不低于90%。</w:t>
      </w:r>
    </w:p>
    <w:p w14:paraId="0FDB0680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5.服务期限内，服务商需配合采购单位完成各类设施的年检、检测等相关工作，提供必要的技术支持和协助。</w:t>
      </w:r>
    </w:p>
    <w:p w14:paraId="2B3E2F4C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bookmarkStart w:id="12" w:name="heading_13"/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三、</w:t>
      </w: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员要求</w:t>
      </w:r>
      <w:bookmarkEnd w:id="12"/>
    </w:p>
    <w:p w14:paraId="33668B66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.具备提供本项目服务所</w:t>
      </w:r>
      <w:r>
        <w:rPr>
          <w:rFonts w:hint="eastAsia" w:ascii="仿宋" w:hAnsi="仿宋" w:eastAsia="仿宋" w:cs="仿宋"/>
          <w:sz w:val="24"/>
          <w:szCs w:val="24"/>
        </w:rPr>
        <w:t>需的专业技术能力、设备和人员，能够满足本需求规定的维保标准和要求。</w:t>
      </w:r>
    </w:p>
    <w:p w14:paraId="790339C8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.具有完善的售后服务体系，能够提供7×24小时应急维保服务，在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接到通知后1小时内到达故障现场</w:t>
      </w:r>
      <w:r>
        <w:rPr>
          <w:rFonts w:hint="eastAsia" w:ascii="仿宋" w:hAnsi="仿宋" w:eastAsia="仿宋" w:cs="仿宋"/>
          <w:sz w:val="24"/>
          <w:szCs w:val="24"/>
        </w:rPr>
        <w:t>有固定的服务网点或常驻服务人员，确保故障处置及时。</w:t>
      </w:r>
    </w:p>
    <w:p w14:paraId="06D88756">
      <w:pPr>
        <w:snapToGrid/>
        <w:spacing w:before="200" w:beforeAutospacing="0" w:after="200" w:afterAutospacing="0" w:line="240" w:lineRule="auto"/>
        <w:ind w:left="0" w:leftChars="0" w:right="0" w:rightChars="0" w:firstLine="482" w:firstLineChars="200"/>
        <w:jc w:val="both"/>
        <w:outlineLvl w:val="9"/>
        <w:rPr>
          <w:rFonts w:hint="eastAsia" w:ascii="仿宋" w:hAnsi="仿宋" w:eastAsia="仿宋" w:cs="仿宋"/>
          <w:b/>
          <w:sz w:val="24"/>
          <w:szCs w:val="24"/>
        </w:rPr>
      </w:pPr>
      <w:bookmarkStart w:id="13" w:name="heading_16"/>
      <w:r>
        <w:rPr>
          <w:rFonts w:hint="eastAsia" w:ascii="仿宋" w:hAnsi="仿宋" w:eastAsia="仿宋" w:cs="仿宋"/>
          <w:b/>
          <w:sz w:val="24"/>
          <w:szCs w:val="24"/>
        </w:rPr>
        <w:t>四、服务质量要求</w:t>
      </w:r>
      <w:bookmarkEnd w:id="13"/>
    </w:p>
    <w:p w14:paraId="56D7324D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1.服务商需严格按照本采购需求、相关行业标准及《无线电监测机房运行维护规范》等要求提供维保服务，确保所有技术设施运行正常，故障发生率控制在5%以内，故障修复率达到100%，设施完好率不低于90%。</w:t>
      </w:r>
    </w:p>
    <w:p w14:paraId="0C0814CB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2.响应及时：日常巡检、定期检测需按时完成，不得拖延；接到故障通知后，需严格按照规定时限响应和处置，确保不影响采购单位正常工作。</w:t>
      </w:r>
    </w:p>
    <w:p w14:paraId="4524AB97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3.维保记录完整：所有维保工作需做好详细记录，记录内容真实、规范、可追溯，每月提交的维保工作报告需经采购单位签字确认，作为服务质量考核的重要依据。</w:t>
      </w:r>
    </w:p>
    <w:p w14:paraId="5152AEDE">
      <w:pPr>
        <w:snapToGrid/>
        <w:spacing w:beforeAutospacing="0" w:afterAutospacing="0" w:line="360" w:lineRule="auto"/>
        <w:ind w:left="0" w:leftChars="0" w:right="0" w:rightChars="0" w:firstLine="480" w:firstLineChars="200"/>
        <w:jc w:val="both"/>
        <w:outlineLvl w:val="9"/>
        <w:rPr>
          <w:highlight w:val="none"/>
        </w:rPr>
      </w:pPr>
      <w:r>
        <w:rPr>
          <w:rFonts w:hint="eastAsia" w:ascii="仿宋" w:hAnsi="仿宋" w:eastAsia="仿宋" w:cs="仿宋"/>
          <w:sz w:val="24"/>
          <w:szCs w:val="24"/>
        </w:rPr>
        <w:t>4.服务期限内，因服务商维保不当或失职导致设施损坏、故障扩大，或造成采购单位损失的，服务商需承担相应的赔偿责任。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E9FE97F3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EF0C30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6CD440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6CD440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A4696"/>
    <w:rsid w:val="0BEA4696"/>
    <w:rsid w:val="107661DA"/>
    <w:rsid w:val="164C468E"/>
    <w:rsid w:val="168C6426"/>
    <w:rsid w:val="18DC2C0D"/>
    <w:rsid w:val="194572A9"/>
    <w:rsid w:val="2B517169"/>
    <w:rsid w:val="3D3D4FD0"/>
    <w:rsid w:val="53A1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1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99"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/>
      <w:b/>
      <w:spacing w:val="20"/>
      <w:kern w:val="0"/>
      <w:sz w:val="20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8640"/>
      </w:tabs>
      <w:ind w:firstLine="200" w:firstLineChars="200"/>
    </w:pPr>
  </w:style>
  <w:style w:type="paragraph" w:styleId="3">
    <w:name w:val="Body Text Indent"/>
    <w:basedOn w:val="1"/>
    <w:qFormat/>
    <w:uiPriority w:val="0"/>
    <w:pPr>
      <w:tabs>
        <w:tab w:val="left" w:pos="8640"/>
      </w:tabs>
      <w:ind w:firstLine="420"/>
    </w:pPr>
    <w:rPr>
      <w:rFonts w:ascii="楷体_GB2312" w:eastAsia="楷体_GB2312"/>
      <w:color w:val="000000"/>
      <w:sz w:val="28"/>
    </w:rPr>
  </w:style>
  <w:style w:type="paragraph" w:styleId="5">
    <w:name w:val="Normal Indent"/>
    <w:basedOn w:val="1"/>
    <w:next w:val="6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楷体_GB2312" w:eastAsia="楷体_GB2312"/>
      <w:sz w:val="32"/>
      <w:szCs w:val="32"/>
      <w:lang w:val="en-US" w:eastAsia="zh-CN" w:bidi="ar-SA"/>
    </w:rPr>
  </w:style>
  <w:style w:type="paragraph" w:styleId="6">
    <w:name w:val="toc 4"/>
    <w:basedOn w:val="1"/>
    <w:next w:val="1"/>
    <w:unhideWhenUsed/>
    <w:qFormat/>
    <w:uiPriority w:val="31"/>
    <w:pPr>
      <w:ind w:left="127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7">
    <w:name w:val="Body Text"/>
    <w:basedOn w:val="1"/>
    <w:next w:val="1"/>
    <w:qFormat/>
    <w:uiPriority w:val="0"/>
    <w:rPr>
      <w:color w:val="993300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itle"/>
    <w:basedOn w:val="1"/>
    <w:next w:val="1"/>
    <w:qFormat/>
    <w:uiPriority w:val="0"/>
    <w:pPr>
      <w:wordWrap w:val="0"/>
      <w:autoSpaceDE w:val="0"/>
      <w:autoSpaceDN w:val="0"/>
      <w:spacing w:before="240" w:after="120"/>
      <w:jc w:val="center"/>
      <w:outlineLvl w:val="0"/>
    </w:pPr>
    <w:rPr>
      <w:rFonts w:ascii="Cambria" w:hAnsi="Cambria"/>
      <w:b/>
      <w:bCs/>
      <w:kern w:val="0"/>
      <w:szCs w:val="32"/>
      <w:lang w:eastAsia="ko-KR"/>
    </w:rPr>
  </w:style>
  <w:style w:type="paragraph" w:customStyle="1" w:styleId="13">
    <w:name w:val="Normal Indent"/>
    <w:basedOn w:val="1"/>
    <w:qFormat/>
    <w:uiPriority w:val="0"/>
    <w:pPr>
      <w:ind w:firstLine="200" w:firstLineChars="200"/>
    </w:pPr>
    <w:rPr>
      <w:rFonts w:eastAsia="楷体_GB2312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列出段落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1223</Words>
  <Characters>1618</Characters>
  <Lines>0</Lines>
  <Paragraphs>0</Paragraphs>
  <TotalTime>1</TotalTime>
  <ScaleCrop>false</ScaleCrop>
  <LinksUpToDate>false</LinksUpToDate>
  <CharactersWithSpaces>1618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2026-04-30T09:41:00Z</dcterms:created>
  <dc:creator>zl</dc:creator>
  <cp:lastModifiedBy>zl</cp:lastModifiedBy>
  <dcterms:modified xsi:type="dcterms:W3CDTF">2026-06-16T06:12:57Z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CF709F7DFC954F44BFFED3D8A2F54777_11</vt:lpwstr>
  </property>
  <property fmtid="{D5CDD505-2E9C-101B-9397-08002B2CF9AE}" pid="4" name="KSOTemplateDocerSaveRecord">
    <vt:lpwstr>eyJoZGlkIjoiODQxZGY1OWFiZjYxZWQ4YWNmNzBhMmMxNmZkMzI0ZDciLCJ1c2VySWQiOiIyNzQ5OTcwMTQifQ==</vt:lpwstr>
  </property>
</Properties>
</file>