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5DE6">
      <w:pPr>
        <w:pStyle w:val="6"/>
        <w:ind w:right="560"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合同附件：</w:t>
      </w:r>
    </w:p>
    <w:p w14:paraId="52DB2C88">
      <w:pPr>
        <w:spacing w:before="156" w:beforeLines="50" w:line="480" w:lineRule="auto"/>
        <w:jc w:val="center"/>
        <w:rPr>
          <w:rFonts w:hint="eastAsia" w:ascii="仿宋" w:hAnsi="仿宋" w:eastAsia="仿宋" w:cs="仿宋"/>
          <w:b/>
          <w:bCs/>
          <w:color w:val="auto"/>
          <w:sz w:val="24"/>
          <w:szCs w:val="24"/>
          <w:highlight w:val="none"/>
        </w:rPr>
      </w:pPr>
    </w:p>
    <w:p w14:paraId="59FA9021">
      <w:pPr>
        <w:spacing w:before="156" w:beforeLines="50" w:line="480" w:lineRule="auto"/>
        <w:jc w:val="center"/>
        <w:rPr>
          <w:rFonts w:hint="eastAsia" w:ascii="仿宋" w:hAnsi="仿宋" w:eastAsia="仿宋" w:cs="仿宋"/>
          <w:b/>
          <w:sz w:val="28"/>
          <w:szCs w:val="20"/>
          <w:highlight w:val="none"/>
          <w:lang w:eastAsia="zh-CN"/>
        </w:rPr>
      </w:pPr>
      <w:r>
        <w:rPr>
          <w:rFonts w:hint="eastAsia" w:ascii="仿宋" w:hAnsi="仿宋" w:eastAsia="仿宋" w:cs="仿宋"/>
          <w:b/>
          <w:sz w:val="28"/>
          <w:szCs w:val="20"/>
          <w:highlight w:val="none"/>
          <w:lang w:eastAsia="zh-CN"/>
        </w:rPr>
        <w:t>食堂外包采购项目</w:t>
      </w:r>
    </w:p>
    <w:p w14:paraId="5BE96645">
      <w:pPr>
        <w:spacing w:before="156" w:beforeLines="50" w:line="480" w:lineRule="auto"/>
        <w:jc w:val="center"/>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u w:val="single"/>
        </w:rPr>
        <w:t>合同编号：</w:t>
      </w:r>
    </w:p>
    <w:p w14:paraId="448C0060">
      <w:pPr>
        <w:pStyle w:val="6"/>
        <w:rPr>
          <w:rFonts w:hint="eastAsia" w:ascii="仿宋" w:hAnsi="仿宋" w:eastAsia="仿宋" w:cs="仿宋"/>
          <w:color w:val="auto"/>
          <w:sz w:val="24"/>
          <w:szCs w:val="24"/>
          <w:highlight w:val="none"/>
        </w:rPr>
      </w:pPr>
    </w:p>
    <w:p w14:paraId="7E43794E">
      <w:pPr>
        <w:pStyle w:val="12"/>
        <w:rPr>
          <w:rFonts w:hint="eastAsia" w:ascii="仿宋" w:hAnsi="仿宋" w:eastAsia="仿宋" w:cs="仿宋"/>
          <w:color w:val="auto"/>
          <w:sz w:val="24"/>
          <w:szCs w:val="24"/>
          <w:highlight w:val="none"/>
        </w:rPr>
      </w:pPr>
    </w:p>
    <w:p w14:paraId="183D63D1">
      <w:pPr>
        <w:rPr>
          <w:rFonts w:hint="eastAsia" w:ascii="仿宋" w:hAnsi="仿宋" w:eastAsia="仿宋" w:cs="仿宋"/>
          <w:color w:val="auto"/>
          <w:sz w:val="24"/>
          <w:szCs w:val="24"/>
          <w:highlight w:val="none"/>
        </w:rPr>
      </w:pPr>
    </w:p>
    <w:p w14:paraId="1B607F68">
      <w:pPr>
        <w:pStyle w:val="6"/>
        <w:rPr>
          <w:rFonts w:hint="eastAsia" w:ascii="仿宋" w:hAnsi="仿宋" w:eastAsia="仿宋" w:cs="仿宋"/>
          <w:color w:val="auto"/>
          <w:sz w:val="24"/>
          <w:szCs w:val="24"/>
          <w:highlight w:val="none"/>
        </w:rPr>
      </w:pPr>
    </w:p>
    <w:p w14:paraId="54D94BAB">
      <w:pPr>
        <w:pStyle w:val="10"/>
        <w:spacing w:after="156" w:afterLines="50" w:line="500" w:lineRule="exact"/>
        <w:ind w:left="0" w:leftChars="0"/>
        <w:rPr>
          <w:rFonts w:hint="eastAsia" w:ascii="仿宋" w:hAnsi="仿宋" w:eastAsia="仿宋" w:cs="仿宋"/>
          <w:color w:val="auto"/>
          <w:sz w:val="24"/>
          <w:szCs w:val="24"/>
          <w:highlight w:val="none"/>
          <w:lang w:val="zh-CN"/>
        </w:rPr>
      </w:pPr>
    </w:p>
    <w:p w14:paraId="4F032800">
      <w:pPr>
        <w:pStyle w:val="10"/>
        <w:spacing w:after="156" w:afterLines="50" w:line="500" w:lineRule="exact"/>
        <w:ind w:left="0" w:leftChars="0"/>
        <w:rPr>
          <w:rFonts w:hint="eastAsia" w:ascii="仿宋" w:hAnsi="仿宋" w:eastAsia="仿宋" w:cs="仿宋"/>
          <w:color w:val="auto"/>
          <w:sz w:val="24"/>
          <w:szCs w:val="24"/>
          <w:highlight w:val="none"/>
          <w:lang w:val="zh-CN"/>
        </w:rPr>
      </w:pPr>
    </w:p>
    <w:p w14:paraId="6517B36A">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11A7ED1D">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540C2DDC">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4B5AB057">
      <w:pPr>
        <w:pStyle w:val="10"/>
        <w:spacing w:after="156" w:afterLines="50" w:line="500" w:lineRule="exact"/>
        <w:ind w:left="0" w:leftChars="0" w:firstLine="1440" w:firstLineChars="6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71FAAF0">
      <w:pPr>
        <w:pStyle w:val="10"/>
        <w:spacing w:after="156" w:afterLines="50" w:line="500" w:lineRule="exact"/>
        <w:ind w:left="0" w:leftChars="0" w:firstLine="1440" w:firstLineChars="6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乙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p>
    <w:p w14:paraId="2F4E39EA">
      <w:pPr>
        <w:pStyle w:val="10"/>
        <w:spacing w:after="156" w:afterLines="50" w:line="500" w:lineRule="exact"/>
        <w:ind w:left="0" w:leftChars="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u w:val="single"/>
          <w:lang w:val="zh-CN"/>
        </w:rPr>
        <w:t xml:space="preserve">  20</w:t>
      </w:r>
      <w:r>
        <w:rPr>
          <w:rFonts w:hint="eastAsia" w:ascii="仿宋" w:hAnsi="仿宋" w:eastAsia="仿宋" w:cs="仿宋"/>
          <w:color w:val="auto"/>
          <w:sz w:val="24"/>
          <w:szCs w:val="24"/>
          <w:highlight w:val="none"/>
          <w:u w:val="single"/>
          <w:lang w:val="en-US" w:eastAsia="zh-CN"/>
        </w:rPr>
        <w:t>26</w:t>
      </w:r>
      <w:r>
        <w:rPr>
          <w:rFonts w:hint="eastAsia" w:ascii="仿宋" w:hAnsi="仿宋" w:eastAsia="仿宋" w:cs="仿宋"/>
          <w:color w:val="auto"/>
          <w:sz w:val="24"/>
          <w:szCs w:val="24"/>
          <w:highlight w:val="none"/>
          <w:lang w:val="zh-CN"/>
        </w:rPr>
        <w:t>年</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月</w:t>
      </w:r>
    </w:p>
    <w:p w14:paraId="713E07A5">
      <w:pPr>
        <w:spacing w:line="360" w:lineRule="auto"/>
        <w:ind w:firstLine="480" w:firstLineChars="200"/>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委托方（甲方）：</w:t>
      </w:r>
      <w:r>
        <w:rPr>
          <w:rFonts w:hint="eastAsia" w:ascii="仿宋" w:hAnsi="仿宋" w:eastAsia="仿宋" w:cs="仿宋"/>
          <w:b/>
          <w:bCs/>
          <w:color w:val="auto"/>
          <w:sz w:val="24"/>
          <w:szCs w:val="24"/>
          <w:highlight w:val="none"/>
          <w:lang w:eastAsia="zh-CN"/>
        </w:rPr>
        <w:t>西安市新城区人民法院</w:t>
      </w:r>
    </w:p>
    <w:p w14:paraId="215C1A2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5EB8BD8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777FFDB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36BD4A2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2EE7D516">
      <w:pPr>
        <w:pStyle w:val="12"/>
        <w:spacing w:line="360" w:lineRule="auto"/>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48C3F3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63D26227">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受托方（乙方）： </w:t>
      </w:r>
    </w:p>
    <w:p w14:paraId="5B78564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714CFE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4C5CB0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7C58362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516DED9C">
      <w:pPr>
        <w:pStyle w:val="12"/>
        <w:spacing w:line="360" w:lineRule="auto"/>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374B9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43B3BE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为保障双方权益，经甲乙双方协议商定，乙方为甲方提供约定服务。根据《民法典》及相应的法律法规，甲乙双方本着公平、自愿的原则签订以下协议：</w:t>
      </w:r>
    </w:p>
    <w:p w14:paraId="00214A3E">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一、服务的目标、要求及内容</w:t>
      </w:r>
    </w:p>
    <w:p w14:paraId="04BE350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1.服务的目标：</w:t>
      </w:r>
    </w:p>
    <w:p w14:paraId="5B001FD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甲方同意将</w:t>
      </w:r>
      <w:r>
        <w:rPr>
          <w:rFonts w:hint="eastAsia" w:ascii="仿宋" w:hAnsi="仿宋" w:eastAsia="仿宋" w:cs="仿宋"/>
          <w:color w:val="auto"/>
          <w:sz w:val="24"/>
          <w:szCs w:val="24"/>
          <w:highlight w:val="none"/>
          <w:lang w:eastAsia="zh-CN"/>
        </w:rPr>
        <w:t>西安市新城区人民法院</w:t>
      </w:r>
      <w:r>
        <w:rPr>
          <w:rFonts w:hint="eastAsia" w:ascii="仿宋" w:hAnsi="仿宋" w:eastAsia="仿宋" w:cs="仿宋"/>
          <w:color w:val="auto"/>
          <w:sz w:val="24"/>
          <w:szCs w:val="24"/>
          <w:highlight w:val="none"/>
        </w:rPr>
        <w:t>餐厅及相关指定区域的保洁委托乙方服务，为加强管理，明确双方的权利和义务。</w:t>
      </w:r>
    </w:p>
    <w:p w14:paraId="1BD9ADC6">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2.服务要求：</w:t>
      </w:r>
    </w:p>
    <w:p w14:paraId="6E8C612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（1）服务地点（项目地点）：本部食堂、西一路法庭食堂、韩森寨法庭食堂共三处。</w:t>
      </w:r>
    </w:p>
    <w:p w14:paraId="52015DE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auto"/>
          <w:sz w:val="24"/>
          <w:szCs w:val="24"/>
          <w:highlight w:val="none"/>
          <w:lang w:val="en-US" w:eastAsia="zh-CN"/>
        </w:rPr>
        <w:t>合同签订之日起</w:t>
      </w:r>
      <w:r>
        <w:rPr>
          <w:rFonts w:hint="eastAsia" w:ascii="仿宋" w:hAnsi="仿宋" w:eastAsia="仿宋" w:cs="仿宋"/>
          <w:color w:val="auto"/>
          <w:sz w:val="24"/>
          <w:szCs w:val="24"/>
          <w:highlight w:val="none"/>
        </w:rPr>
        <w:t>至202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年12月31日</w:t>
      </w:r>
    </w:p>
    <w:p w14:paraId="18EBB26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）留样品种：所有供应</w:t>
      </w:r>
      <w:r>
        <w:rPr>
          <w:rFonts w:hint="eastAsia" w:ascii="仿宋" w:hAnsi="仿宋" w:eastAsia="仿宋" w:cs="仿宋"/>
          <w:color w:val="auto"/>
          <w:sz w:val="24"/>
          <w:szCs w:val="24"/>
          <w:highlight w:val="none"/>
          <w:lang w:val="en-US" w:eastAsia="zh-CN"/>
        </w:rPr>
        <w:t>餐食</w:t>
      </w:r>
      <w:r>
        <w:rPr>
          <w:rFonts w:hint="eastAsia" w:ascii="仿宋" w:hAnsi="仿宋" w:eastAsia="仿宋" w:cs="仿宋"/>
          <w:color w:val="auto"/>
          <w:sz w:val="24"/>
          <w:szCs w:val="24"/>
          <w:highlight w:val="none"/>
        </w:rPr>
        <w:t>。</w:t>
      </w:r>
    </w:p>
    <w:p w14:paraId="49DB784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）留样时限：48小时，特殊情况下，经批准后方可处置。</w:t>
      </w:r>
    </w:p>
    <w:p w14:paraId="5DD0BF6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3.服务的内容及方式：</w:t>
      </w:r>
    </w:p>
    <w:p w14:paraId="4F145D4F">
      <w:pPr>
        <w:pStyle w:val="19"/>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（1）乙方负责为甲方提供法定工作日职工餐厅原材料采购及早、中餐加工制作服务（如遇临时</w:t>
      </w:r>
      <w:r>
        <w:rPr>
          <w:rFonts w:hint="eastAsia" w:ascii="仿宋" w:hAnsi="仿宋" w:eastAsia="仿宋" w:cs="仿宋"/>
          <w:color w:val="auto"/>
          <w:sz w:val="24"/>
          <w:szCs w:val="24"/>
          <w:highlight w:val="none"/>
          <w:lang w:val="en-US" w:eastAsia="zh-CN"/>
        </w:rPr>
        <w:t>加餐</w:t>
      </w:r>
      <w:r>
        <w:rPr>
          <w:rFonts w:hint="eastAsia" w:ascii="仿宋" w:hAnsi="仿宋" w:eastAsia="仿宋" w:cs="仿宋"/>
          <w:color w:val="auto"/>
          <w:sz w:val="24"/>
          <w:szCs w:val="24"/>
          <w:highlight w:val="none"/>
        </w:rPr>
        <w:t>，节假日加班，乙方服务时间与甲方保持一致）</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highlight w:val="none"/>
        </w:rPr>
        <w:t>配备厨房餐厅服务人员至少10人。</w:t>
      </w:r>
    </w:p>
    <w:p w14:paraId="589D34AF">
      <w:pPr>
        <w:pStyle w:val="19"/>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b w:val="0"/>
          <w:bCs w:val="0"/>
          <w:sz w:val="24"/>
          <w:szCs w:val="24"/>
          <w:highlight w:val="none"/>
        </w:rPr>
        <w:t>服务内容：职工餐、会议工作餐饭菜的加工、制作和职工就餐全程服务；刷饭卡管理全程服务；餐厅所辖区域卫生清洁服务；餐厅所辖区域各类设备、设施安全运行、维护工作；负责食堂食品卫生安全等工作。</w:t>
      </w:r>
    </w:p>
    <w:p w14:paraId="70FCDEF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（2）乙方合理安排膳食供应，在保证甲方员工就餐的前提下，做好节约，避免浪费；甲方后期若增加就餐人数或其他餐饮服务，需提前与乙方沟通协商；</w:t>
      </w:r>
    </w:p>
    <w:p w14:paraId="19ECFB4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（3）乙方每周四编制下周菜单，报甲方审核，乙方按甲方审核后的菜单拟定原材料采购计划。</w:t>
      </w:r>
    </w:p>
    <w:p w14:paraId="345615B4">
      <w:pPr>
        <w:pStyle w:val="6"/>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（4）保洁服务：</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食品区域卫生保洁</w:t>
      </w:r>
      <w:r>
        <w:rPr>
          <w:rFonts w:hint="eastAsia" w:ascii="仿宋" w:hAnsi="仿宋" w:eastAsia="仿宋" w:cs="仿宋"/>
          <w:color w:val="auto"/>
          <w:sz w:val="24"/>
          <w:szCs w:val="24"/>
          <w:highlight w:val="none"/>
          <w:lang w:eastAsia="zh-CN"/>
        </w:rPr>
        <w:t>。</w:t>
      </w:r>
    </w:p>
    <w:p w14:paraId="73D6F0DF">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二、费用结算及方式</w:t>
      </w:r>
    </w:p>
    <w:p w14:paraId="7929CF4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1.甲方向乙方支付本协议项下服务费用合计人民币：（含增值税金额）：</w:t>
      </w:r>
    </w:p>
    <w:p w14:paraId="573346D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530BF3C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61C153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2.服务费用支付： </w:t>
      </w:r>
    </w:p>
    <w:p w14:paraId="5C507DB0">
      <w:pPr>
        <w:pStyle w:val="19"/>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①</w:t>
      </w:r>
      <w:r>
        <w:rPr>
          <w:rFonts w:hint="eastAsia" w:ascii="仿宋" w:hAnsi="仿宋" w:eastAsia="仿宋" w:cs="仿宋"/>
          <w:sz w:val="24"/>
          <w:szCs w:val="24"/>
          <w:highlight w:val="none"/>
        </w:rPr>
        <w:t>合同签订后，乙方开具正式发票后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达到付款条件起 15 日内，支付合同总金额的</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0.00%。</w:t>
      </w:r>
      <w:r>
        <w:rPr>
          <w:rFonts w:hint="eastAsia" w:ascii="仿宋" w:hAnsi="仿宋" w:eastAsia="仿宋" w:cs="仿宋"/>
          <w:sz w:val="24"/>
          <w:szCs w:val="24"/>
          <w:highlight w:val="none"/>
          <w:lang w:val="en-US" w:eastAsia="zh-CN"/>
        </w:rPr>
        <w:t>②</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年7月25日前由乙方开具正式发票后，达到付款条件起 15 日内，支付合同总金额的 </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年10月25日前由乙方开具正式发票后，合同期满，因预算未下达等原因甲方可要求乙方延续提供1-4个月的服务，费用标准按原合同执行，乙方应予以保证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xml:space="preserve">达到付款条件起 15 日内，支付合同总金额的 </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.00%。</w:t>
      </w:r>
    </w:p>
    <w:p w14:paraId="2E83F71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6E27194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3）结算方式：供应商持验收书，发票（按合同总价开具），成交通知书、供货合同，与采购人结算。</w:t>
      </w:r>
    </w:p>
    <w:p w14:paraId="022741E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3.乙方指定的银行账户信息如下：</w:t>
      </w:r>
    </w:p>
    <w:p w14:paraId="5FF0331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开户名： </w:t>
      </w:r>
    </w:p>
    <w:p w14:paraId="7ED1C4F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50533AF5">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429B230F">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三、履约期限</w:t>
      </w:r>
    </w:p>
    <w:p w14:paraId="0086585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本合同自双方法定代表人或授权代表签字并加盖公司印章之日起生效，合同有效期自</w:t>
      </w:r>
      <w:r>
        <w:rPr>
          <w:rFonts w:hint="eastAsia" w:ascii="仿宋" w:hAnsi="仿宋" w:eastAsia="仿宋" w:cs="仿宋"/>
          <w:color w:val="auto"/>
          <w:sz w:val="24"/>
          <w:szCs w:val="24"/>
          <w:highlight w:val="none"/>
          <w:u w:val="single"/>
        </w:rPr>
        <w:t>202</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年 月 日起至202</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年 月   日</w:t>
      </w:r>
      <w:r>
        <w:rPr>
          <w:rFonts w:hint="eastAsia" w:ascii="仿宋" w:hAnsi="仿宋" w:eastAsia="仿宋" w:cs="仿宋"/>
          <w:color w:val="auto"/>
          <w:sz w:val="24"/>
          <w:szCs w:val="24"/>
          <w:highlight w:val="none"/>
        </w:rPr>
        <w:t>，合同履行期限为1年。</w:t>
      </w:r>
    </w:p>
    <w:p w14:paraId="2B5077D5">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四、保密</w:t>
      </w:r>
    </w:p>
    <w:p w14:paraId="7A5A947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遵守的保密义务如下：乙方不得将甲方经营、生产状况及技术资料等以任何方式泄露给第三方，但以下情况除外：本合同签署前乙方得到甲方已公开的信息；甲方在本单位范围外已公开的资料；法律另有要求时以及国家主管部门要求时。</w:t>
      </w:r>
    </w:p>
    <w:p w14:paraId="1C42396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五、合同的变更与解除</w:t>
      </w:r>
    </w:p>
    <w:p w14:paraId="34B189A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1.本合同签署后，合同双方同意在下述任一情况发生时，双方可以协商变更本合同：</w:t>
      </w:r>
    </w:p>
    <w:p w14:paraId="64CB2F1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（1）合同双方经协商一致，同意变更的；</w:t>
      </w:r>
    </w:p>
    <w:p w14:paraId="2814D90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（2）国家法律法规政策发生变化，合同需要做出相应变更的；</w:t>
      </w:r>
    </w:p>
    <w:p w14:paraId="5E24CB6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（3）合同双方任一方发生管理体制或名称变更、合并、分立时，甲方类型发生重大变化的。</w:t>
      </w:r>
    </w:p>
    <w:p w14:paraId="2A559E3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合同变更应由协议双方协商一致，对需要变更的部分达成新的修改意见。在未达成新的变更意见前，原合同（协议）继续有效。</w:t>
      </w:r>
    </w:p>
    <w:p w14:paraId="52893A1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2.本合同出现下列事项时，甲方有权单方解除本合同：</w:t>
      </w:r>
    </w:p>
    <w:p w14:paraId="71CFF85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（1）乙方拒绝按照本合同规定的内容提供技术服务，或乙方故意或重大过失导致其提供的服务不能达到本合同的要求，致甲方不能实现合同目的；</w:t>
      </w:r>
    </w:p>
    <w:p w14:paraId="4E49C79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（2）乙方在服务过程中严重懈怠，每年出现三次以上不能按要求完成服务工作致甲方不能实现合同目的：</w:t>
      </w:r>
    </w:p>
    <w:p w14:paraId="21526F9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3.甲方根据双方约定，单方解除本合同时，应以书面方式通知乙方。自乙方收到甲方发出解除合同的书面通知之日起30日后，合同解除。</w:t>
      </w:r>
    </w:p>
    <w:p w14:paraId="0CC1F82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4.甲方乙方解除合同后，合同尚未履行的，不再履行。如因甲方原因导致的解除，已经履行的部分，甲方支付相应的费用。</w:t>
      </w:r>
    </w:p>
    <w:p w14:paraId="68665BFA">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六、双方责任与义务</w:t>
      </w:r>
    </w:p>
    <w:p w14:paraId="7D33B87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1.甲方责任与义务：</w:t>
      </w:r>
    </w:p>
    <w:p w14:paraId="3A309C9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无偿向乙方提供厨房场地和用具的使用权。进场前方负责将厨房设备基础设施（含灭火器、灭火毯等）装修、配备完成，所有物品经清点（按清单双方签字）交付乙方使用，若双方合同终止，乙方将上述物品交还甲方，如有遗失、损坏，乙方负责赔偿（自然损耗除外）；</w:t>
      </w:r>
    </w:p>
    <w:p w14:paraId="63563AA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内，若餐厅需要增加或更新厨具、设备、餐具、用具用品时，乙方以书面形式向甲方提出申请，征得甲方同意后添置，并计入物品清单；添加、更新设施设备、物品用具费用及厨房设施设备维修费由双方协商支付，报废设备交由甲方处理；</w:t>
      </w:r>
    </w:p>
    <w:p w14:paraId="78187BD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（3）服务费由甲方按本合同约定向乙方支付，服务期产生的费用（水、电、气等）均由甲方承担；</w:t>
      </w:r>
    </w:p>
    <w:p w14:paraId="720D6CA5">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（4）甲方按服务合同约定监督乙方认真履行合同，按期向乙方支付服务费用，同时做好指导和协调工作；</w:t>
      </w:r>
    </w:p>
    <w:p w14:paraId="51C64F1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（5）甲方对乙方的配菜、营养搭配、服务水平及食品卫生、环境卫生等方面进行监督，并有权要求乙方及时整改；</w:t>
      </w:r>
    </w:p>
    <w:p w14:paraId="12F7F09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（6）甲方如对乙方服务人员不满意，有权要求乙方更换人员，但需提前7个工作日告知；</w:t>
      </w:r>
    </w:p>
    <w:p w14:paraId="76DC178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（7）甲方负责在服务区域内配备有效的消防器材及设施，并按规定进行年检；</w:t>
      </w:r>
    </w:p>
    <w:p w14:paraId="2D463E0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（8）甲方如需乙方加班提供用餐服务，需提前通知乙方，保障乙方有足够的时间做准备。</w:t>
      </w:r>
    </w:p>
    <w:p w14:paraId="72C196FC">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2.乙方责任与义务：</w:t>
      </w:r>
    </w:p>
    <w:p w14:paraId="55B4C080">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val="0"/>
          <w:bCs w:val="0"/>
          <w:sz w:val="24"/>
          <w:szCs w:val="24"/>
          <w:highlight w:val="none"/>
          <w:lang w:val="en-US" w:eastAsia="zh-CN"/>
        </w:rPr>
      </w:pPr>
      <w:r>
        <w:rPr>
          <w:rFonts w:hint="eastAsia" w:ascii="仿宋" w:hAnsi="仿宋" w:eastAsia="仿宋" w:cs="仿宋"/>
          <w:color w:val="auto"/>
          <w:sz w:val="24"/>
          <w:szCs w:val="24"/>
          <w:highlight w:val="none"/>
        </w:rPr>
        <w:t>（1）乙方</w:t>
      </w:r>
      <w:r>
        <w:rPr>
          <w:rFonts w:hint="eastAsia" w:ascii="仿宋_GB2312" w:hAnsi="仿宋_GB2312" w:eastAsia="仿宋_GB2312" w:cs="仿宋_GB2312"/>
          <w:b w:val="0"/>
          <w:bCs w:val="0"/>
          <w:sz w:val="24"/>
          <w:szCs w:val="24"/>
          <w:highlight w:val="none"/>
          <w:lang w:val="en-US" w:eastAsia="zh-CN"/>
        </w:rPr>
        <w:t>必须持有有效《营业执照》、《食品经营许可证》，证件需在有效期内。</w:t>
      </w:r>
    </w:p>
    <w:p w14:paraId="02040328">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（2）乙方选购食材采购需选择合法经营、资质齐全的供货单位，优先选择本地供应商，且确保食材供应稳定、新鲜。严禁采购临期、过期、变质、假冒伪劣、来源不明的食材。</w:t>
      </w:r>
    </w:p>
    <w:p w14:paraId="0CDE0922">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w:t>
      </w:r>
      <w:r>
        <w:rPr>
          <w:rFonts w:hint="eastAsia" w:ascii="仿宋" w:hAnsi="仿宋" w:eastAsia="仿宋" w:cs="仿宋"/>
          <w:b w:val="0"/>
          <w:bCs w:val="0"/>
          <w:sz w:val="24"/>
          <w:szCs w:val="24"/>
          <w:highlight w:val="none"/>
          <w:lang w:val="en-US" w:eastAsia="zh-CN"/>
        </w:rPr>
        <w:t>动物性、植物性、水产品原料的工用具和容器分开使用，生熟食材严格区分，有明显标识，避免交叉污染；生食蔬菜、水果需在专用区域清洗处理，必要时进行消毒，未经清洁的禽蛋需清洁外壳后使用。</w:t>
      </w:r>
    </w:p>
    <w:p w14:paraId="64AD36B8">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w:t>
      </w:r>
      <w:r>
        <w:rPr>
          <w:rFonts w:hint="eastAsia" w:ascii="仿宋" w:hAnsi="仿宋" w:eastAsia="仿宋" w:cs="仿宋"/>
          <w:b w:val="0"/>
          <w:bCs w:val="0"/>
          <w:sz w:val="24"/>
          <w:szCs w:val="24"/>
          <w:highlight w:val="none"/>
          <w:lang w:val="en-US" w:eastAsia="zh-CN"/>
        </w:rPr>
        <w:t>建立食品留样制度，每餐每个饮食品种留样量不少于125克，标注留样日期、菜品名称，冷藏保存48小时以上，做好留样记录，确保可追溯。</w:t>
      </w:r>
    </w:p>
    <w:p w14:paraId="2C7725BD">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（5）食堂</w:t>
      </w:r>
      <w:r>
        <w:rPr>
          <w:rFonts w:hint="eastAsia" w:ascii="仿宋" w:hAnsi="仿宋" w:eastAsia="仿宋" w:cs="仿宋"/>
          <w:b w:val="0"/>
          <w:bCs w:val="0"/>
          <w:sz w:val="24"/>
          <w:szCs w:val="24"/>
          <w:highlight w:val="none"/>
          <w:lang w:val="en-US" w:eastAsia="zh-CN"/>
        </w:rPr>
        <w:t>经营场地（含厨房、餐厅、库房、卫生间）每日进行全面清洁消杀，灶台、炊具、餐具、操作台等及时清洗消毒，餐具消毒后需存放在密闭保洁柜中，消毒记录完整可查。</w:t>
      </w:r>
    </w:p>
    <w:p w14:paraId="35C64E81">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所有接触直接入口食品的从业人员必须持有有效健康证明，每年进行一次体检，新入职人员取得健康证明后方可上岗；从业人员有发热、呕吐、腹泻等有碍食品安全病症的，立即暂停上岗，治愈后方可复岗。</w:t>
      </w:r>
    </w:p>
    <w:p w14:paraId="7A33BA12">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定期对从业人员进行食品安全知识、操作规范培训，每学期进行考核，确保从业人员熟悉相关法律法规及操作要求；从业人员工作时需穿戴整洁的工作衣帽、口罩，不得留长指甲、涂指甲油、佩戴外露饰物，加工食品前需进行手部消毒。</w:t>
      </w:r>
    </w:p>
    <w:p w14:paraId="1812C496">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sz w:val="24"/>
          <w:szCs w:val="24"/>
          <w:highlight w:val="none"/>
          <w:lang w:val="en-US" w:eastAsia="zh-CN"/>
        </w:rPr>
        <w:t>（8）乙方需为从业人员购买各类保险，明确工资待遇，自行管理从业人员，从业人员与甲方无任何劳动法律关系，若从业人员因违规操作给甲方造成损失，由乙方承担全部责任。</w:t>
      </w:r>
    </w:p>
    <w:p w14:paraId="398A814C">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b w:val="0"/>
          <w:bCs w:val="0"/>
          <w:sz w:val="24"/>
          <w:szCs w:val="24"/>
          <w:highlight w:val="none"/>
          <w:lang w:val="en-US" w:eastAsia="zh-CN"/>
        </w:rPr>
        <w:t>每周四更新菜谱，经甲方食堂管理人员确认后公布，确保一周内菜品不重复，根据就餐人员反馈及时调整菜品口味及品类。确保餐品新鲜可口、温度适宜，无异味、无异物，份量充足，符合约定标准，杜绝暴利经营，主动与甲方进行成本核算，接受物价监督。</w:t>
      </w:r>
    </w:p>
    <w:p w14:paraId="62C69CAC">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）厨房每日的残渣剩饭和垃圾由乙方运送至甲方指定地点；</w:t>
      </w:r>
    </w:p>
    <w:p w14:paraId="50457371">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）未经甲方同意，乙方不得擅自对餐厅设施做任何改动；</w:t>
      </w:r>
    </w:p>
    <w:p w14:paraId="589A01B6">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）未经甲方同意，乙方不得收取甲方就餐人员任何费用，不得擅自转让承包或变相转让他人经营，不得对外经营；</w:t>
      </w:r>
    </w:p>
    <w:p w14:paraId="34CA86D8">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）乙方接受甲方的监督和指导，认真履行合同；工作人员必须遵守甲方的各项安全、治安、消防等规章制度；工作期间杜绝长明灯、长流水，做好水、电、气等节约使用；</w:t>
      </w:r>
    </w:p>
    <w:p w14:paraId="23B0A741">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）乙方用工自身的安全、人身伤害以及对其他第三人的伤害等均由乙方负责，若给甲方造成不良后果的应承担相应赔偿责任；</w:t>
      </w:r>
    </w:p>
    <w:p w14:paraId="46AA9C35">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）非乙方责任造成的损失，乙方不承担责任；</w:t>
      </w:r>
    </w:p>
    <w:p w14:paraId="70FCC94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）乙方有自主选聘人员、决定薪酬的权利。</w:t>
      </w:r>
    </w:p>
    <w:p w14:paraId="46B13A51">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）服务期产生的人工费、低值易耗品费用由乙方承担；</w:t>
      </w:r>
    </w:p>
    <w:p w14:paraId="5BFAD1B5">
      <w:pPr>
        <w:pStyle w:val="6"/>
        <w:spacing w:line="360" w:lineRule="auto"/>
        <w:ind w:firstLine="482"/>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七、验收</w:t>
      </w:r>
    </w:p>
    <w:p w14:paraId="0DE1E97D">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1.验收工作由采购人自行组织验收，验收过程需客观、公正，做好验收记录。</w:t>
      </w:r>
    </w:p>
    <w:p w14:paraId="006F761F">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2.验收从食材采购、加工储存、环境卫生及人员管理等方面验收，可采取现场检查、资料核查、现场抽样检测等方式开展，确保验收结果真实、准确。</w:t>
      </w:r>
    </w:p>
    <w:p w14:paraId="760FF2CF">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3.对于整改后合格的项目，供应商需在验收规定的期限内完成整改，采购人进行复核，复核仍不合格的，按不合格处理。</w:t>
      </w:r>
    </w:p>
    <w:p w14:paraId="47A9CFB3">
      <w:pPr>
        <w:pStyle w:val="6"/>
        <w:spacing w:line="360" w:lineRule="auto"/>
        <w:ind w:left="239" w:leftChars="114" w:firstLine="307" w:firstLineChars="128"/>
        <w:rPr>
          <w:rFonts w:hint="default"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4.验收记录、整改记录、复核记录等相关资料需留存归档，作为后续外包服务考核、续约、追责的依据。 </w:t>
      </w:r>
    </w:p>
    <w:p w14:paraId="3425FB37">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、双方违约责任</w:t>
      </w:r>
    </w:p>
    <w:p w14:paraId="7ACBF78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1.乙方未能按时完成每日工作，超过三次以上，甲方有权向乙方收取合同总额的1%的违约金。</w:t>
      </w:r>
    </w:p>
    <w:p w14:paraId="3AC6598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2.任何单方面终止本合同的行为均视为违约。违约方应向对方赔偿因合约提前终止而直接引致的一切损失。</w:t>
      </w:r>
    </w:p>
    <w:p w14:paraId="3A0E8EE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3.除上述各项规定外，本合同任何一方若有违约行为，均应在收到另一方通知后七天内予以更正，本合同另有规定的除外；逾期未能更正，另一方保留索赔的权利。</w:t>
      </w:r>
    </w:p>
    <w:p w14:paraId="6F436A5D">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、不可抗力</w:t>
      </w:r>
    </w:p>
    <w:p w14:paraId="3BD8B05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1.本合同涉及不可抗力指火灾、地震、洪水、暴乱、战争等不能预见、无法避免的客观情况。</w:t>
      </w:r>
    </w:p>
    <w:p w14:paraId="2B165DC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2.因不可抗力原因造成本合同一方无法履行本合同的，遭受不可抗力的一方全部或部分免责。</w:t>
      </w:r>
    </w:p>
    <w:p w14:paraId="4BA7DAE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3.遭受不可抗力的一方应于不可抗力情形结束之日起7日内，以书面方式向对方提交有关政府就该次不可抗力发生出具的证明文件。</w:t>
      </w:r>
    </w:p>
    <w:p w14:paraId="6489CC5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4.因不可抗力原因造成本合同部分不能履行的，甲乙双方可就合同的继续履行签订补充协议。</w:t>
      </w:r>
    </w:p>
    <w:p w14:paraId="64AC17A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、争议解决</w:t>
      </w:r>
    </w:p>
    <w:p w14:paraId="74808C9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1.凡与本合同有关而引起的一切争议，双方首先通过友好协商解决，如经协商后仍不能达成协议时，任何一方可以提交西安仲裁委员会申请仲裁。</w:t>
      </w:r>
    </w:p>
    <w:p w14:paraId="54D1AEB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2.在进行仲裁或法院审理期间，除提交仲裁或法院审理的事项外，合同仍应继续履行。</w:t>
      </w:r>
    </w:p>
    <w:p w14:paraId="2E25DC8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一</w:t>
      </w:r>
      <w:bookmarkStart w:id="0" w:name="_GoBack"/>
      <w:bookmarkEnd w:id="0"/>
      <w:r>
        <w:rPr>
          <w:rFonts w:hint="eastAsia" w:ascii="仿宋" w:hAnsi="仿宋" w:eastAsia="仿宋" w:cs="仿宋"/>
          <w:b/>
          <w:color w:val="auto"/>
          <w:sz w:val="24"/>
          <w:szCs w:val="24"/>
          <w:highlight w:val="none"/>
        </w:rPr>
        <w:t>、附则</w:t>
      </w:r>
    </w:p>
    <w:p w14:paraId="3A92CE4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1.本合同一式陆份，甲方执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份，具有同等法律效力。本合同附件为本合同不可分割的有效组成部分，与本合同具有同等法律效力。</w:t>
      </w:r>
    </w:p>
    <w:p w14:paraId="0609E46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2、合同签订地点：西安市碑林区。</w:t>
      </w:r>
    </w:p>
    <w:p w14:paraId="204BD68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58156F79">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十二、附表：</w:t>
      </w:r>
      <w:r>
        <w:rPr>
          <w:rFonts w:hint="eastAsia" w:ascii="仿宋" w:hAnsi="仿宋" w:eastAsia="仿宋" w:cs="仿宋"/>
          <w:color w:val="auto"/>
          <w:sz w:val="24"/>
          <w:szCs w:val="24"/>
          <w:highlight w:val="none"/>
        </w:rPr>
        <w:t>服务评审满意度考核标准（签订合同时约定）</w:t>
      </w:r>
    </w:p>
    <w:p w14:paraId="19DC81D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1.甲方根据合同约定的服务评审满意度考核标准对乙方进行考评。</w:t>
      </w:r>
    </w:p>
    <w:p w14:paraId="6C7253D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2.甲方委托乙方对廉政灶外包进行全面运营管理，管理过程由甲方全权监督。</w:t>
      </w:r>
    </w:p>
    <w:p w14:paraId="7102256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3.甲方对乙方实行监督考核，根据考核情况调整奖惩措施。</w:t>
      </w:r>
    </w:p>
    <w:p w14:paraId="2880481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4.甲方有权要求乙方采取具体措施立即整改，如整改不到位，甲方有权进行相应的处罚，严重者解除终止合同。</w:t>
      </w:r>
    </w:p>
    <w:p w14:paraId="39F4BB5C">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5.甲方负责落实项目实施的全过程监督规则，并根据项目要求及时作出调整。</w:t>
      </w:r>
    </w:p>
    <w:p w14:paraId="7673D965">
      <w:pPr>
        <w:spacing w:line="360" w:lineRule="auto"/>
        <w:rPr>
          <w:rFonts w:hint="eastAsia" w:ascii="仿宋" w:hAnsi="仿宋" w:eastAsia="仿宋" w:cs="仿宋"/>
          <w:b/>
          <w:bCs/>
          <w:color w:val="auto"/>
          <w:sz w:val="24"/>
          <w:szCs w:val="24"/>
          <w:highlight w:val="none"/>
        </w:rPr>
      </w:pPr>
    </w:p>
    <w:tbl>
      <w:tblPr>
        <w:tblStyle w:val="15"/>
        <w:tblW w:w="8680" w:type="dxa"/>
        <w:tblInd w:w="-106" w:type="dxa"/>
        <w:tblLayout w:type="fixed"/>
        <w:tblCellMar>
          <w:top w:w="0" w:type="dxa"/>
          <w:left w:w="108" w:type="dxa"/>
          <w:bottom w:w="0" w:type="dxa"/>
          <w:right w:w="108" w:type="dxa"/>
        </w:tblCellMar>
      </w:tblPr>
      <w:tblGrid>
        <w:gridCol w:w="4183"/>
        <w:gridCol w:w="4497"/>
      </w:tblGrid>
      <w:tr w14:paraId="6EC65E47">
        <w:trPr>
          <w:trHeight w:val="863" w:hRule="atLeast"/>
        </w:trPr>
        <w:tc>
          <w:tcPr>
            <w:tcW w:w="4183" w:type="dxa"/>
            <w:noWrap w:val="0"/>
            <w:vAlign w:val="center"/>
          </w:tcPr>
          <w:p w14:paraId="41D67167">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甲方（签章）：</w:t>
            </w:r>
          </w:p>
          <w:p w14:paraId="3356FBE1">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15ED27B5">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乙方（签章）：                                                                             </w:t>
            </w:r>
          </w:p>
          <w:p w14:paraId="181C19C8">
            <w:pPr>
              <w:spacing w:line="360" w:lineRule="auto"/>
              <w:rPr>
                <w:rFonts w:hint="eastAsia" w:ascii="仿宋" w:hAnsi="仿宋" w:eastAsia="仿宋" w:cs="仿宋"/>
                <w:b/>
                <w:bCs/>
                <w:color w:val="auto"/>
                <w:sz w:val="24"/>
                <w:szCs w:val="24"/>
                <w:highlight w:val="none"/>
              </w:rPr>
            </w:pPr>
          </w:p>
        </w:tc>
      </w:tr>
      <w:tr w14:paraId="7F7E1954">
        <w:tblPrEx>
          <w:tblCellMar>
            <w:top w:w="0" w:type="dxa"/>
            <w:left w:w="108" w:type="dxa"/>
            <w:bottom w:w="0" w:type="dxa"/>
            <w:right w:w="108" w:type="dxa"/>
          </w:tblCellMar>
        </w:tblPrEx>
        <w:trPr>
          <w:trHeight w:val="863" w:hRule="atLeast"/>
        </w:trPr>
        <w:tc>
          <w:tcPr>
            <w:tcW w:w="4183" w:type="dxa"/>
            <w:noWrap w:val="0"/>
            <w:vAlign w:val="center"/>
          </w:tcPr>
          <w:p w14:paraId="39DC4C7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5F7F8AB6">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4476BF2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57D99131">
            <w:pPr>
              <w:spacing w:line="360" w:lineRule="auto"/>
              <w:rPr>
                <w:rFonts w:hint="eastAsia" w:ascii="仿宋" w:hAnsi="仿宋" w:eastAsia="仿宋" w:cs="仿宋"/>
                <w:b/>
                <w:bCs/>
                <w:color w:val="auto"/>
                <w:sz w:val="24"/>
                <w:szCs w:val="24"/>
                <w:highlight w:val="none"/>
              </w:rPr>
            </w:pPr>
          </w:p>
        </w:tc>
      </w:tr>
      <w:tr w14:paraId="3037A1F1">
        <w:tblPrEx>
          <w:tblCellMar>
            <w:top w:w="0" w:type="dxa"/>
            <w:left w:w="108" w:type="dxa"/>
            <w:bottom w:w="0" w:type="dxa"/>
            <w:right w:w="108" w:type="dxa"/>
          </w:tblCellMar>
        </w:tblPrEx>
        <w:trPr>
          <w:trHeight w:val="863" w:hRule="atLeast"/>
        </w:trPr>
        <w:tc>
          <w:tcPr>
            <w:tcW w:w="4183" w:type="dxa"/>
            <w:noWrap w:val="0"/>
            <w:vAlign w:val="center"/>
          </w:tcPr>
          <w:p w14:paraId="2FD8778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64D4899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c>
          <w:tcPr>
            <w:tcW w:w="4497" w:type="dxa"/>
            <w:noWrap w:val="0"/>
            <w:vAlign w:val="center"/>
          </w:tcPr>
          <w:p w14:paraId="445F64C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748C452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r>
    </w:tbl>
    <w:p w14:paraId="7962E73A">
      <w:pPr>
        <w:pStyle w:val="19"/>
        <w:rPr>
          <w:rFonts w:hint="eastAsia" w:ascii="仿宋" w:hAnsi="仿宋" w:eastAsia="仿宋" w:cs="仿宋"/>
          <w:sz w:val="24"/>
          <w:szCs w:val="24"/>
          <w:lang w:val="en-US" w:eastAsia="zh-Hans"/>
        </w:rPr>
      </w:pPr>
    </w:p>
    <w:p w14:paraId="3A0B9285"/>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1FEF6BDC"/>
    <w:rsid w:val="2CA222C0"/>
    <w:rsid w:val="2CD84875"/>
    <w:rsid w:val="319F507A"/>
    <w:rsid w:val="43072A32"/>
    <w:rsid w:val="4C38704B"/>
    <w:rsid w:val="4DAB0F73"/>
    <w:rsid w:val="51DD4068"/>
    <w:rsid w:val="53524554"/>
    <w:rsid w:val="5A367568"/>
    <w:rsid w:val="61712B04"/>
    <w:rsid w:val="63893E89"/>
    <w:rsid w:val="67B0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Body Text"/>
    <w:basedOn w:val="1"/>
    <w:next w:val="1"/>
    <w:qFormat/>
    <w:uiPriority w:val="0"/>
    <w:rPr>
      <w:color w:val="993300"/>
      <w:sz w:val="24"/>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ody Text Indent 2"/>
    <w:basedOn w:val="1"/>
    <w:qFormat/>
    <w:uiPriority w:val="0"/>
    <w:pPr>
      <w:spacing w:after="120" w:line="480" w:lineRule="auto"/>
      <w:ind w:left="420" w:leftChars="200"/>
    </w:pPr>
    <w:rPr>
      <w:rFonts w:ascii="Times New Roman" w:hAnsi="Times New Roman"/>
      <w:szCs w:val="20"/>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toc 4"/>
    <w:basedOn w:val="1"/>
    <w:next w:val="1"/>
    <w:qFormat/>
    <w:uiPriority w:val="0"/>
    <w:pPr>
      <w:ind w:left="1260" w:leftChars="600"/>
    </w:p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4">
    <w:name w:val="Body Text First Indent 2"/>
    <w:basedOn w:val="8"/>
    <w:next w:val="1"/>
    <w:qFormat/>
    <w:uiPriority w:val="0"/>
    <w:pPr>
      <w:ind w:firstLine="200" w:firstLineChars="200"/>
    </w:pPr>
  </w:style>
  <w:style w:type="paragraph" w:customStyle="1" w:styleId="17">
    <w:name w:val="样式 首行缩进:  2 字符"/>
    <w:basedOn w:val="1"/>
    <w:qFormat/>
    <w:uiPriority w:val="0"/>
    <w:pPr>
      <w:spacing w:line="400" w:lineRule="exact"/>
      <w:ind w:firstLine="200" w:firstLineChars="200"/>
    </w:pPr>
    <w:rPr>
      <w:rFonts w:cs="宋体"/>
      <w:szCs w:val="24"/>
    </w:rPr>
  </w:style>
  <w:style w:type="paragraph"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3966</Words>
  <Characters>4051</Characters>
  <Lines>0</Lines>
  <Paragraphs>0</Paragraphs>
  <TotalTime>3</TotalTime>
  <ScaleCrop>false</ScaleCrop>
  <LinksUpToDate>false</LinksUpToDate>
  <CharactersWithSpaces>4291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2026-05-12T08:57:43Z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