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版本号：CW2026-ZCCS-0120260512001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CW2026-ZCCS-01</w:t>
      </w:r>
      <w:r>
        <w:br/>
      </w:r>
      <w:r>
        <w:br/>
      </w:r>
      <w:r>
        <w:br/>
      </w:r>
    </w:p>
    <w:p>
      <w:pPr>
        <w:pStyle w:val="null3"/>
        <w:jc w:val="center"/>
        <w:outlineLvl w:val="2"/>
      </w:pPr>
      <w:r>
        <w:rPr>
          <w:rFonts w:ascii="仿宋_GB2312" w:hAnsi="仿宋_GB2312" w:cs="仿宋_GB2312" w:eastAsia="仿宋_GB2312"/>
          <w:sz w:val="28"/>
          <w:b/>
        </w:rPr>
        <w:t>西安市新城区人民法院[153]</w:t>
      </w:r>
    </w:p>
    <w:p>
      <w:pPr>
        <w:pStyle w:val="null3"/>
        <w:jc w:val="center"/>
        <w:outlineLvl w:val="2"/>
      </w:pPr>
      <w:r>
        <w:rPr>
          <w:rFonts w:ascii="仿宋_GB2312" w:hAnsi="仿宋_GB2312" w:cs="仿宋_GB2312" w:eastAsia="仿宋_GB2312"/>
          <w:sz w:val="28"/>
          <w:b/>
        </w:rPr>
        <w:t>陕西池文项目管理有限公司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食堂外包采购项目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CW2026-ZCCS-01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食堂外包采购项目，具体详见采购文件。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12、资质证书：供应商须提供有效的《食品经营许可证》。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西安市新城区含元路229号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代理服务费收费标准：本项目招标代理服务费实行市场调节价，采用差额定率累进法计费，以成交金额为计费基数，由成交人在领取成交通知书前一次性支付。具体费率如下： 100万元以下，按照1.5%计取；100万元-500万元以下，按照0.8%计取； 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西安市新城区人民法院[153]</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联系人：邱程、醋转转</w:t>
      </w:r>
    </w:p>
    <w:p>
      <w:pPr>
        <w:pStyle w:val="null3"/>
      </w:pPr>
      <w:r>
        <w:rPr>
          <w:rFonts w:ascii="仿宋_GB2312" w:hAnsi="仿宋_GB2312" w:cs="仿宋_GB2312" w:eastAsia="仿宋_GB2312"/>
        </w:rPr>
        <w:t>联系电话：13709225739</w:t>
      </w:r>
    </w:p>
    <w:p>
      <w:pPr>
        <w:pStyle w:val="null3"/>
      </w:pPr>
      <w:r>
        <w:rPr>
          <w:rFonts w:ascii="仿宋_GB2312" w:hAnsi="仿宋_GB2312" w:cs="仿宋_GB2312" w:eastAsia="仿宋_GB2312"/>
        </w:rPr>
        <w:t>地址：陕西省西安市经济技术开发区凤城3路3号巍然大厦B座6楼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食堂外包采购项目，具体详见采购文件。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1,348,000.00</w:t>
      </w:r>
    </w:p>
    <w:p>
      <w:pPr>
        <w:pStyle w:val="null3"/>
      </w:pPr>
      <w:r>
        <w:rPr>
          <w:rFonts w:ascii="仿宋_GB2312" w:hAnsi="仿宋_GB2312" w:cs="仿宋_GB2312" w:eastAsia="仿宋_GB2312"/>
        </w:rPr>
        <w:t>采购包最高限价（元）: 1,348,000.00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1348000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1,348,000.00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标的名称：1348000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一、供餐服务要求</w:t>
            </w:r>
          </w:p>
          <w:p>
            <w:pPr>
              <w:pStyle w:val="null3"/>
            </w:pPr>
            <w:r>
              <w:rPr>
                <w:rFonts w:ascii="仿宋_GB2312" w:hAnsi="仿宋_GB2312" w:cs="仿宋_GB2312" w:eastAsia="仿宋_GB2312"/>
              </w:rPr>
              <w:t>用餐人数约328人，一天两餐（早餐+午餐）自助餐形式开餐，国家法定工作日及甲方临时要求之日供餐，要求供应商配备厨房餐厅服务人员至少10人。</w:t>
            </w:r>
          </w:p>
          <w:p>
            <w:pPr>
              <w:pStyle w:val="null3"/>
            </w:pPr>
            <w:r>
              <w:rPr>
                <w:rFonts w:ascii="仿宋_GB2312" w:hAnsi="仿宋_GB2312" w:cs="仿宋_GB2312" w:eastAsia="仿宋_GB2312"/>
              </w:rPr>
              <w:t>餐厅供应服务点：包含本部食堂、西一路法庭食堂、韩森寨法庭食堂共三处。</w:t>
            </w:r>
          </w:p>
          <w:p>
            <w:pPr>
              <w:pStyle w:val="null3"/>
            </w:pPr>
            <w:r>
              <w:rPr>
                <w:rFonts w:ascii="仿宋_GB2312" w:hAnsi="仿宋_GB2312" w:cs="仿宋_GB2312" w:eastAsia="仿宋_GB2312"/>
              </w:rPr>
              <w:t>服务内容：职工餐、会议工作餐饭菜的加工、制作和职工就餐全程服务；刷饭卡管理全程服务；餐厅所辖区域卫生清洁服务；餐厅所辖区域各类设备、设施安全运行、维护工作；负责食堂食品卫生安全等工作。</w:t>
            </w:r>
          </w:p>
          <w:p>
            <w:pPr>
              <w:pStyle w:val="null3"/>
            </w:pPr>
            <w:r>
              <w:rPr>
                <w:rFonts w:ascii="仿宋_GB2312" w:hAnsi="仿宋_GB2312" w:cs="仿宋_GB2312" w:eastAsia="仿宋_GB2312"/>
              </w:rPr>
              <w:t>（一）供餐标准</w:t>
            </w:r>
          </w:p>
          <w:p>
            <w:pPr>
              <w:pStyle w:val="null3"/>
            </w:pPr>
            <w:r>
              <w:rPr>
                <w:rFonts w:ascii="仿宋_GB2312" w:hAnsi="仿宋_GB2312" w:cs="仿宋_GB2312" w:eastAsia="仿宋_GB2312"/>
              </w:rPr>
              <w:t>1.供餐品类：早餐不少于6个品种，包含凉菜、热菜、面点、鸡蛋、牛奶、稀饭、粗粮等基本品类，；午餐保证不少于2主荤、2素菜、1例汤、2主食。</w:t>
            </w:r>
          </w:p>
          <w:p>
            <w:pPr>
              <w:pStyle w:val="null3"/>
            </w:pPr>
            <w:r>
              <w:rPr>
                <w:rFonts w:ascii="仿宋_GB2312" w:hAnsi="仿宋_GB2312" w:cs="仿宋_GB2312" w:eastAsia="仿宋_GB2312"/>
              </w:rPr>
              <w:t>2.菜品更新：每周四更新菜谱，经甲方食堂管理人员确认后公布，确保一周内菜品不重复，根据就餐人员反馈及时调整菜品口味及品类。</w:t>
            </w:r>
          </w:p>
          <w:p>
            <w:pPr>
              <w:pStyle w:val="null3"/>
            </w:pPr>
            <w:r>
              <w:rPr>
                <w:rFonts w:ascii="仿宋_GB2312" w:hAnsi="仿宋_GB2312" w:cs="仿宋_GB2312" w:eastAsia="仿宋_GB2312"/>
              </w:rPr>
              <w:t>3.营养搭配：科学搭配菜品，兼顾营养均衡，满足不同就餐人员需求（如素食、低盐、低糖等），接受就餐人员监督。</w:t>
            </w:r>
          </w:p>
          <w:p>
            <w:pPr>
              <w:pStyle w:val="null3"/>
            </w:pPr>
            <w:r>
              <w:rPr>
                <w:rFonts w:ascii="仿宋_GB2312" w:hAnsi="仿宋_GB2312" w:cs="仿宋_GB2312" w:eastAsia="仿宋_GB2312"/>
              </w:rPr>
              <w:t>4.餐品质量：确保餐品新鲜可口、温度适宜，无异味、无异物，份量充足，符合约定标准，杜绝暴利经营，主动与发包单位进行成本核算，接受物价监督。</w:t>
            </w:r>
          </w:p>
          <w:p>
            <w:pPr>
              <w:pStyle w:val="null3"/>
            </w:pPr>
            <w:r>
              <w:rPr>
                <w:rFonts w:ascii="仿宋_GB2312" w:hAnsi="仿宋_GB2312" w:cs="仿宋_GB2312" w:eastAsia="仿宋_GB2312"/>
              </w:rPr>
              <w:t>（二）供餐时间</w:t>
            </w:r>
          </w:p>
          <w:p>
            <w:pPr>
              <w:pStyle w:val="null3"/>
            </w:pPr>
            <w:r>
              <w:rPr>
                <w:rFonts w:ascii="仿宋_GB2312" w:hAnsi="仿宋_GB2312" w:cs="仿宋_GB2312" w:eastAsia="仿宋_GB2312"/>
              </w:rPr>
              <w:t>1.基本供餐时间：早餐7:30-8:50、中餐11:50-13:00可根据发包单位工作需求调整供餐时间，供应商需无条件配合）。</w:t>
            </w:r>
          </w:p>
          <w:p>
            <w:pPr>
              <w:pStyle w:val="null3"/>
            </w:pPr>
            <w:r>
              <w:rPr>
                <w:rFonts w:ascii="仿宋_GB2312" w:hAnsi="仿宋_GB2312" w:cs="仿宋_GB2312" w:eastAsia="仿宋_GB2312"/>
              </w:rPr>
              <w:t>2.特殊供餐：配合发包单位承接临时供餐需求，提前沟通供餐标准、时间、人数，确保供餐及时、优质。</w:t>
            </w:r>
          </w:p>
          <w:p>
            <w:pPr>
              <w:pStyle w:val="null3"/>
            </w:pPr>
            <w:r>
              <w:rPr>
                <w:rFonts w:ascii="仿宋_GB2312" w:hAnsi="仿宋_GB2312" w:cs="仿宋_GB2312" w:eastAsia="仿宋_GB2312"/>
              </w:rPr>
              <w:t>（三）食材采购与验收</w:t>
            </w:r>
          </w:p>
          <w:p>
            <w:pPr>
              <w:pStyle w:val="null3"/>
            </w:pPr>
            <w:r>
              <w:rPr>
                <w:rFonts w:ascii="仿宋_GB2312" w:hAnsi="仿宋_GB2312" w:cs="仿宋_GB2312" w:eastAsia="仿宋_GB2312"/>
              </w:rPr>
              <w:t>1.食材采购需选择合法经营、资质齐全的供货单位，优先选择本地供应商，确保食材供应稳定、新鲜。肉禽类原料需提供防疫检测证明；粮油、干货、调味品需符合国家相关标准，大米、面粉、食用油需达到优质标准。</w:t>
            </w:r>
          </w:p>
          <w:p>
            <w:pPr>
              <w:pStyle w:val="null3"/>
            </w:pPr>
            <w:r>
              <w:rPr>
                <w:rFonts w:ascii="仿宋_GB2312" w:hAnsi="仿宋_GB2312" w:cs="仿宋_GB2312" w:eastAsia="仿宋_GB2312"/>
              </w:rPr>
              <w:t>2.建立严格的进货查验制度，实行“双人或多人联检”，查验食材的生产日期、保质期、包装完整性、色泽形态等，索取供货单位证照、产品合格证及同批次检验报告，做好查验记录。</w:t>
            </w:r>
          </w:p>
          <w:p>
            <w:pPr>
              <w:pStyle w:val="null3"/>
            </w:pPr>
            <w:r>
              <w:rPr>
                <w:rFonts w:ascii="仿宋_GB2312" w:hAnsi="仿宋_GB2312" w:cs="仿宋_GB2312" w:eastAsia="仿宋_GB2312"/>
              </w:rPr>
              <w:t>3.严禁采购过期、变质、假冒伪劣、来源不明的食材，严禁采购高风险食材，蔬菜需经浸泡、清洗、消毒后方可使用。</w:t>
            </w:r>
          </w:p>
          <w:p>
            <w:pPr>
              <w:pStyle w:val="null3"/>
            </w:pPr>
            <w:r>
              <w:rPr>
                <w:rFonts w:ascii="仿宋_GB2312" w:hAnsi="仿宋_GB2312" w:cs="仿宋_GB2312" w:eastAsia="仿宋_GB2312"/>
              </w:rPr>
              <w:t>（四）食材储存与管理</w:t>
            </w:r>
          </w:p>
          <w:p>
            <w:pPr>
              <w:pStyle w:val="null3"/>
            </w:pPr>
            <w:r>
              <w:rPr>
                <w:rFonts w:ascii="仿宋_GB2312" w:hAnsi="仿宋_GB2312" w:cs="仿宋_GB2312" w:eastAsia="仿宋_GB2312"/>
              </w:rPr>
              <w:t>1.根据食材特性分类存放，做到生熟分开、荤素分开，散装食品需标明食品名称、生产日期、使用期限等信息，存放时离墙、离地不少于10cm。</w:t>
            </w:r>
          </w:p>
          <w:p>
            <w:pPr>
              <w:pStyle w:val="null3"/>
            </w:pPr>
            <w:r>
              <w:rPr>
                <w:rFonts w:ascii="仿宋_GB2312" w:hAnsi="仿宋_GB2312" w:cs="仿宋_GB2312" w:eastAsia="仿宋_GB2312"/>
              </w:rPr>
              <w:t>2.定期对库房进行清理、通风、消杀，防止食材受潮、霉变、虫蛀，建立食材出入库台账，做到账物相符，先进先出，杜绝浪费及过期食材留存。</w:t>
            </w:r>
          </w:p>
          <w:p>
            <w:pPr>
              <w:pStyle w:val="null3"/>
            </w:pPr>
            <w:r>
              <w:rPr>
                <w:rFonts w:ascii="仿宋_GB2312" w:hAnsi="仿宋_GB2312" w:cs="仿宋_GB2312" w:eastAsia="仿宋_GB2312"/>
              </w:rPr>
              <w:t>（五）加工制作与留样</w:t>
            </w:r>
          </w:p>
          <w:p>
            <w:pPr>
              <w:pStyle w:val="null3"/>
            </w:pPr>
            <w:r>
              <w:rPr>
                <w:rFonts w:ascii="仿宋_GB2312" w:hAnsi="仿宋_GB2312" w:cs="仿宋_GB2312" w:eastAsia="仿宋_GB2312"/>
              </w:rPr>
              <w:t>1.食品处理区需按照原料进入、加工制作、半成品加工、成品供应的流程合理布局，形成生进熟出的单向流程，原料通道、成品通道、餐饮具回收通道分开设置，各专间、专用操作区有明显标识。</w:t>
            </w:r>
          </w:p>
          <w:p>
            <w:pPr>
              <w:pStyle w:val="null3"/>
            </w:pPr>
            <w:r>
              <w:rPr>
                <w:rFonts w:ascii="仿宋_GB2312" w:hAnsi="仿宋_GB2312" w:cs="仿宋_GB2312" w:eastAsia="仿宋_GB2312"/>
              </w:rPr>
              <w:t>2.动物性、植物性、水产品原料的工用具和容器分开使用，生熟食材严格区分，避免交叉污染；生食蔬菜、水果需在专用区域清洗处理，必要时进行消毒，未经清洁的禽蛋需清洁外壳后使用。</w:t>
            </w:r>
          </w:p>
          <w:p>
            <w:pPr>
              <w:pStyle w:val="null3"/>
            </w:pPr>
            <w:r>
              <w:rPr>
                <w:rFonts w:ascii="仿宋_GB2312" w:hAnsi="仿宋_GB2312" w:cs="仿宋_GB2312" w:eastAsia="仿宋_GB2312"/>
              </w:rPr>
              <w:t>3.严格按照食品安全操作规范进行加工制作，确保菜品熟透，热食成品出锅后温度不低于60℃，不得制售冷荤类食品、生食类食品。</w:t>
            </w:r>
          </w:p>
          <w:p>
            <w:pPr>
              <w:pStyle w:val="null3"/>
            </w:pPr>
            <w:r>
              <w:rPr>
                <w:rFonts w:ascii="仿宋_GB2312" w:hAnsi="仿宋_GB2312" w:cs="仿宋_GB2312" w:eastAsia="仿宋_GB2312"/>
              </w:rPr>
              <w:t>4.建立食品留样制度，每餐每个饮食品种留样量不少于125克，标注留样日期、菜品名称，冷藏保存48小时以上，做好留样记录，确保可追溯。</w:t>
            </w:r>
          </w:p>
          <w:p>
            <w:pPr>
              <w:pStyle w:val="null3"/>
            </w:pPr>
            <w:r>
              <w:rPr>
                <w:rFonts w:ascii="仿宋_GB2312" w:hAnsi="仿宋_GB2312" w:cs="仿宋_GB2312" w:eastAsia="仿宋_GB2312"/>
              </w:rPr>
              <w:t>（六）卫生与消毒</w:t>
            </w:r>
          </w:p>
          <w:p>
            <w:pPr>
              <w:pStyle w:val="null3"/>
            </w:pPr>
            <w:r>
              <w:rPr>
                <w:rFonts w:ascii="仿宋_GB2312" w:hAnsi="仿宋_GB2312" w:cs="仿宋_GB2312" w:eastAsia="仿宋_GB2312"/>
              </w:rPr>
              <w:t>1.食堂经营场地（含厨房、餐厅、库房、卫生间）每日进行全面清洁消杀，灶台、炊具、餐具、操作台等及时清洗消毒，餐具消毒后需存放在密闭保洁柜中，消毒记录完整可查。</w:t>
            </w:r>
          </w:p>
          <w:p>
            <w:pPr>
              <w:pStyle w:val="null3"/>
            </w:pPr>
            <w:r>
              <w:rPr>
                <w:rFonts w:ascii="仿宋_GB2312" w:hAnsi="仿宋_GB2312" w:cs="仿宋_GB2312" w:eastAsia="仿宋_GB2312"/>
              </w:rPr>
              <w:t>2.食堂蓄水池每月清洗一次，下水道定期清扫，保持排水畅通；与外界直接相通的门、窗安装防蝇帘、防虫纱窗，食品处理区安装粘捕式灭蝇灯，设置不低于60cm的金属挡鼠板，防范有害生物入侵。</w:t>
            </w:r>
          </w:p>
          <w:p>
            <w:pPr>
              <w:pStyle w:val="null3"/>
            </w:pPr>
            <w:r>
              <w:rPr>
                <w:rFonts w:ascii="仿宋_GB2312" w:hAnsi="仿宋_GB2312" w:cs="仿宋_GB2312" w:eastAsia="仿宋_GB2312"/>
              </w:rPr>
              <w:t>3.餐饮垃圾分类收集、密闭存放，及时清运，做好清运记录，严禁随意倾倒。</w:t>
            </w:r>
          </w:p>
          <w:p>
            <w:pPr>
              <w:pStyle w:val="null3"/>
            </w:pPr>
            <w:r>
              <w:rPr>
                <w:rFonts w:ascii="仿宋_GB2312" w:hAnsi="仿宋_GB2312" w:cs="仿宋_GB2312" w:eastAsia="仿宋_GB2312"/>
              </w:rPr>
              <w:t>二、设施设备管理要求</w:t>
            </w:r>
          </w:p>
          <w:p>
            <w:pPr>
              <w:pStyle w:val="null3"/>
            </w:pPr>
            <w:r>
              <w:rPr>
                <w:rFonts w:ascii="仿宋_GB2312" w:hAnsi="仿宋_GB2312" w:cs="仿宋_GB2312" w:eastAsia="仿宋_GB2312"/>
              </w:rPr>
              <w:t>1.发包单位提供的食堂场地、设施设备，由供应商负责日常保管、使用及保养，定期进行维护，延长设备使用寿命；不得人为损坏和丢失，否则应折价赔偿。</w:t>
            </w:r>
          </w:p>
          <w:p>
            <w:pPr>
              <w:pStyle w:val="null3"/>
            </w:pPr>
            <w:r>
              <w:rPr>
                <w:rFonts w:ascii="仿宋_GB2312" w:hAnsi="仿宋_GB2312" w:cs="仿宋_GB2312" w:eastAsia="仿宋_GB2312"/>
              </w:rPr>
              <w:t>2.供应商自行配备的设备、耗材，由供应商自行负责，合同到期后自行处理，发包单位不承担任何补偿责任；供应商如需改造食堂餐线、增设或拆换设备设施，需提前取得发包单位书面同意后方可施工。</w:t>
            </w:r>
          </w:p>
          <w:p>
            <w:pPr>
              <w:pStyle w:val="null3"/>
            </w:pPr>
            <w:r>
              <w:rPr>
                <w:rFonts w:ascii="仿宋_GB2312" w:hAnsi="仿宋_GB2312" w:cs="仿宋_GB2312" w:eastAsia="仿宋_GB2312"/>
              </w:rPr>
              <w:t>3.供应商进场、退场时，需与发包单位共同对场地、设备进行核查验收，办理交接手续，确保设施设备完好。</w:t>
            </w:r>
          </w:p>
          <w:p>
            <w:pPr>
              <w:pStyle w:val="null3"/>
            </w:pPr>
            <w:r>
              <w:rPr>
                <w:rFonts w:ascii="仿宋_GB2312" w:hAnsi="仿宋_GB2312" w:cs="仿宋_GB2312" w:eastAsia="仿宋_GB2312"/>
              </w:rPr>
              <w:t>三、人员要求</w:t>
            </w:r>
          </w:p>
          <w:p>
            <w:pPr>
              <w:pStyle w:val="null3"/>
            </w:pPr>
            <w:r>
              <w:rPr>
                <w:rFonts w:ascii="仿宋_GB2312" w:hAnsi="仿宋_GB2312" w:cs="仿宋_GB2312" w:eastAsia="仿宋_GB2312"/>
              </w:rPr>
              <w:t>1.员工身体健康要求供应商入场服务前，拟在餐厅上岗的员工必须通过当地卫生部门指定医院或防疫站的体检，并领取饮食行业健康证。人员必须身体健康，无伤残或重大疾病，无各种遗传性疾病。</w:t>
            </w:r>
          </w:p>
          <w:p>
            <w:pPr>
              <w:pStyle w:val="null3"/>
            </w:pPr>
            <w:r>
              <w:rPr>
                <w:rFonts w:ascii="仿宋_GB2312" w:hAnsi="仿宋_GB2312" w:cs="仿宋_GB2312" w:eastAsia="仿宋_GB2312"/>
              </w:rPr>
              <w:t>2.定期对从业人员进行食品安全知识、操作规范培训，每学期进行考核，确保从业人员熟悉相关法律法规及操作要求；从业人员工作时需穿戴整洁的工作衣帽、口罩，不得留长指甲、涂指甲油、佩戴外露饰物，加工食品前需进行手部消毒。</w:t>
            </w:r>
          </w:p>
          <w:p>
            <w:pPr>
              <w:pStyle w:val="null3"/>
            </w:pPr>
            <w:r>
              <w:rPr>
                <w:rFonts w:ascii="仿宋_GB2312" w:hAnsi="仿宋_GB2312" w:cs="仿宋_GB2312" w:eastAsia="仿宋_GB2312"/>
              </w:rPr>
              <w:t>3.员工品德要求：拟派员工相貌端正，有敬业精神；有良好的职业道德；诚实、讲信用。</w:t>
            </w:r>
          </w:p>
          <w:p>
            <w:pPr>
              <w:pStyle w:val="null3"/>
            </w:pPr>
            <w:r>
              <w:rPr>
                <w:rFonts w:ascii="仿宋_GB2312" w:hAnsi="仿宋_GB2312" w:cs="仿宋_GB2312" w:eastAsia="仿宋_GB2312"/>
              </w:rPr>
              <w:t>4.供应商所配备员工年龄必须遵守国家劳动法规定的年龄要求。不得配备超龄或不足年龄的员工。</w:t>
            </w:r>
          </w:p>
          <w:p>
            <w:pPr>
              <w:pStyle w:val="null3"/>
            </w:pPr>
            <w:r>
              <w:rPr>
                <w:rFonts w:ascii="仿宋_GB2312" w:hAnsi="仿宋_GB2312" w:cs="仿宋_GB2312" w:eastAsia="仿宋_GB2312"/>
              </w:rPr>
              <w:t>5.乙方需为从业人员购买各类保险，明确工资待遇，自行管理从业人员，从业人员与甲方无任何劳动法律关系，若从业人员因违规操作给甲方造成损失，由乙方承担全部责任。</w:t>
            </w:r>
          </w:p>
          <w:p>
            <w:pPr>
              <w:pStyle w:val="null3"/>
            </w:pPr>
            <w:r>
              <w:rPr>
                <w:rFonts w:ascii="仿宋_GB2312" w:hAnsi="仿宋_GB2312" w:cs="仿宋_GB2312" w:eastAsia="仿宋_GB2312"/>
              </w:rPr>
              <w:t>四、费用说明</w:t>
            </w:r>
          </w:p>
          <w:p>
            <w:pPr>
              <w:pStyle w:val="null3"/>
            </w:pPr>
            <w:r>
              <w:rPr>
                <w:rFonts w:ascii="仿宋_GB2312" w:hAnsi="仿宋_GB2312" w:cs="仿宋_GB2312" w:eastAsia="仿宋_GB2312"/>
              </w:rPr>
              <w:t>1.服务费用主要由原材料采购费用及劳务费用构成，均由供应商承担。</w:t>
            </w:r>
          </w:p>
          <w:p>
            <w:pPr>
              <w:pStyle w:val="null3"/>
            </w:pPr>
            <w:r>
              <w:rPr>
                <w:rFonts w:ascii="仿宋_GB2312" w:hAnsi="仿宋_GB2312" w:cs="仿宋_GB2312" w:eastAsia="仿宋_GB2312"/>
              </w:rPr>
              <w:t>2.本次采购预算为在编正式干警加省聘书记员共计328人的用餐补助，因预算下达延迟，2026年1月1日起至本次合同签订之日，食堂所产生的相关费由中标单位签订合同后代为支付，剩余费用作为本项目总包服务费用。</w:t>
            </w:r>
          </w:p>
          <w:p>
            <w:pPr>
              <w:pStyle w:val="null3"/>
            </w:pPr>
            <w:r>
              <w:rPr>
                <w:rFonts w:ascii="仿宋_GB2312" w:hAnsi="仿宋_GB2312" w:cs="仿宋_GB2312" w:eastAsia="仿宋_GB2312"/>
              </w:rPr>
              <w:t>3.合同期满，因预算未下达等原因甲方可要求乙方延续提供1-5个月的服务，费用标准按原合同执行，乙方应予以保证。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本部食堂、西一路法庭食堂、韩森寨法庭食堂共三处</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工作由采购人自行组织验收，验收过程需客观、公正，做好验收记录。2.验收从食材采购、加工储存、环境卫生及人员管理等方面验收，可采取现场检查、资料核查、现场抽样检测等方式开展，确保验收结果真实、准确。3.对于整改后合格的项目，供应商需在验收规定的期限内完成整改，采购人进行复核，复核仍不合格的，按不合格处理。4.验收记录、整改记录、复核记录等相关资料需留存归档，作为后续外包服务考核、续约、追责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合同签订后，乙方开具正式发票后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2026年7月25日前由乙方开具正式发票后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2026年10月25日前由乙方开具正式发票后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项目理解、重难点分析.docx 食品制作、加工方案.docx 报价一览表.docx 业绩.docx 供应商认为有必要说明的其他资料.docx 中小企业声明函 管理方案.docx 食材原料管理方案.docx 服务偏离表.docx 资格证明文件.docx 卫生保洁方案.docx 设施管理方案.docx 人员配备方案.docx 响应文件封面 分项报价表.docx 应急预案.docx 残疾人福利性单位声明函 标的清单 响应函 商务偏离表.docx 成本控制措施.docx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项目理解、重难点分析.docx 食品制作、加工方案.docx 报价一览表.docx 业绩.docx 供应商认为有必要说明的其他资料.docx 中小企业声明函 管理方案.docx 食材原料管理方案.docx 服务偏离表.docx 资格证明文件.docx 卫生保洁方案.docx 设施管理方案.docx 人员配备方案.docx 响应文件封面 分项报价表.docx 应急预案.docx 残疾人福利性单位声明函 标的清单 响应函 商务偏离表.docx 成本控制措施.docx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项目理解、重难点分析.docx 食品制作、加工方案.docx 报价一览表.docx 业绩.docx 供应商认为有必要说明的其他资料.docx 中小企业声明函 管理方案.docx 食材原料管理方案.docx 服务偏离表.docx 资格证明文件.docx 卫生保洁方案.docx 设施管理方案.docx 人员配备方案.docx 响应文件封面 分项报价表.docx 应急预案.docx 残疾人福利性单位声明函 标的清单 响应函 商务偏离表.docx 成本控制措施.docx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针对本项目提供服务方案，包括但不限于①总体服务方案；②食堂日常管理方案；③早餐及午餐就餐服务方案；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针对本项目的食材原料管理方案：包括但不限于①食材采购来源；②食材追溯；③食材运输；④食材检验检查方案；⑤米、面、油采购方案；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食材原料管理方案.docx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评审内容 针对本项目提供管理方案，包括但不限于①食品安全管理制度；②食材储存管理制度；③质量与服务管理制度；④绩效考核管理制度。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管理方案.docx</w:t>
            </w:r>
          </w:p>
        </w:tc>
      </w:tr>
      <w:tr>
        <w:tc>
          <w:tcPr>
            <w:tcW w:type="dxa" w:w="831"/>
            <w:vMerge/>
          </w:tcPr>
          <w:p/>
        </w:tc>
        <w:tc>
          <w:tcPr>
            <w:tcW w:type="dxa" w:w="1661"/>
          </w:tcPr>
          <w:p>
            <w:pPr>
              <w:pStyle w:val="null3"/>
            </w:pPr>
            <w:r>
              <w:rPr>
                <w:rFonts w:ascii="仿宋_GB2312" w:hAnsi="仿宋_GB2312" w:cs="仿宋_GB2312" w:eastAsia="仿宋_GB2312"/>
              </w:rPr>
              <w:t>食品制作、加工方案</w:t>
            </w:r>
          </w:p>
        </w:tc>
        <w:tc>
          <w:tcPr>
            <w:tcW w:type="dxa" w:w="2492"/>
          </w:tcPr>
          <w:p>
            <w:pPr>
              <w:pStyle w:val="null3"/>
            </w:pPr>
            <w:r>
              <w:rPr>
                <w:rFonts w:ascii="仿宋_GB2312" w:hAnsi="仿宋_GB2312" w:cs="仿宋_GB2312" w:eastAsia="仿宋_GB2312"/>
              </w:rPr>
              <w:t>针对本项目提供食品制作、加工方案，包括但不限于①食品加工方案；②食品菜谱制定；③留样制度；④餐具清洗保管及消毒、备餐收餐制度。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食品制作、加工方案.docx</w:t>
            </w:r>
          </w:p>
        </w:tc>
      </w:tr>
      <w:tr>
        <w:tc>
          <w:tcPr>
            <w:tcW w:type="dxa" w:w="831"/>
            <w:vMerge/>
          </w:tcPr>
          <w:p/>
        </w:tc>
        <w:tc>
          <w:tcPr>
            <w:tcW w:type="dxa" w:w="1661"/>
          </w:tcPr>
          <w:p>
            <w:pPr>
              <w:pStyle w:val="null3"/>
            </w:pPr>
            <w:r>
              <w:rPr>
                <w:rFonts w:ascii="仿宋_GB2312" w:hAnsi="仿宋_GB2312" w:cs="仿宋_GB2312" w:eastAsia="仿宋_GB2312"/>
              </w:rPr>
              <w:t>卫生保洁方案</w:t>
            </w:r>
          </w:p>
        </w:tc>
        <w:tc>
          <w:tcPr>
            <w:tcW w:type="dxa" w:w="2492"/>
          </w:tcPr>
          <w:p>
            <w:pPr>
              <w:pStyle w:val="null3"/>
            </w:pPr>
            <w:r>
              <w:rPr>
                <w:rFonts w:ascii="仿宋_GB2312" w:hAnsi="仿宋_GB2312" w:cs="仿宋_GB2312" w:eastAsia="仿宋_GB2312"/>
              </w:rPr>
              <w:t>针对本项目提供卫生保洁方案，包括但不限于①食品区域保洁方案；②餐厅卫生管理制度；③人员及食品安全卫生培训方案；④清洁用具管理制度；⑤消毒及病媒生物防治方案。 评审标准：方案各部分内容全面详细、阐述条理清晰详尽、符合本项目采购需求，能保障本项目实施得10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卫生保洁方案.docx</w:t>
            </w:r>
          </w:p>
        </w:tc>
      </w:tr>
      <w:tr>
        <w:tc>
          <w:tcPr>
            <w:tcW w:type="dxa" w:w="831"/>
            <w:vMerge/>
          </w:tcPr>
          <w:p/>
        </w:tc>
        <w:tc>
          <w:tcPr>
            <w:tcW w:type="dxa" w:w="1661"/>
          </w:tcPr>
          <w:p>
            <w:pPr>
              <w:pStyle w:val="null3"/>
            </w:pPr>
            <w:r>
              <w:rPr>
                <w:rFonts w:ascii="仿宋_GB2312" w:hAnsi="仿宋_GB2312" w:cs="仿宋_GB2312" w:eastAsia="仿宋_GB2312"/>
              </w:rPr>
              <w:t>设施管理方案</w:t>
            </w:r>
          </w:p>
        </w:tc>
        <w:tc>
          <w:tcPr>
            <w:tcW w:type="dxa" w:w="2492"/>
          </w:tcPr>
          <w:p>
            <w:pPr>
              <w:pStyle w:val="null3"/>
            </w:pPr>
            <w:r>
              <w:rPr>
                <w:rFonts w:ascii="仿宋_GB2312" w:hAnsi="仿宋_GB2312" w:cs="仿宋_GB2312" w:eastAsia="仿宋_GB2312"/>
              </w:rPr>
              <w:t>针对本项目提供设施管理方案，包括但不限于①设备的安全管理；②设备维护保养、故障应急；③水、电、天然气节能降耗、消防安全实施方案。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设施管理方案.docx</w:t>
            </w:r>
          </w:p>
        </w:tc>
      </w:tr>
      <w:tr>
        <w:tc>
          <w:tcPr>
            <w:tcW w:type="dxa" w:w="831"/>
            <w:vMerge/>
          </w:tcPr>
          <w:p/>
        </w:tc>
        <w:tc>
          <w:tcPr>
            <w:tcW w:type="dxa" w:w="1661"/>
          </w:tcPr>
          <w:p>
            <w:pPr>
              <w:pStyle w:val="null3"/>
            </w:pPr>
            <w:r>
              <w:rPr>
                <w:rFonts w:ascii="仿宋_GB2312" w:hAnsi="仿宋_GB2312" w:cs="仿宋_GB2312" w:eastAsia="仿宋_GB2312"/>
              </w:rPr>
              <w:t>成本控制措施</w:t>
            </w:r>
          </w:p>
        </w:tc>
        <w:tc>
          <w:tcPr>
            <w:tcW w:type="dxa" w:w="2492"/>
          </w:tcPr>
          <w:p>
            <w:pPr>
              <w:pStyle w:val="null3"/>
            </w:pPr>
            <w:r>
              <w:rPr>
                <w:rFonts w:ascii="仿宋_GB2312" w:hAnsi="仿宋_GB2312" w:cs="仿宋_GB2312" w:eastAsia="仿宋_GB2312"/>
              </w:rPr>
              <w:t>针对本项目提供有效的成本控制措施，包括但不限于：①采购成本控制；②能源消耗管理、故障应急； 评审标准：方案各部分内容全面详细、阐述条理清晰详尽、符合本项目采购需求，能保障本项目实施得2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成本控制措施.docx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针对本项目提供针对性的应急预案，包括但不限于：①服务过程中停水、停电、停气、食物中毒等特殊情况应对措施；②临时接待，节假日加班等应急措施。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针对本项目提供人员配备方案，包括但不限于：①项目服务团队架构；②项目人员岗位划分及职责；③项目团队管理制度；④劳动保障方案（至少包含：人员薪资发放、福利待遇、保险待遇等）。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供应商提供2023年4月1日至今同类业绩（以合同签订日期为准），每提供1个得1分，满分4分。 注：提供合同复印件并加盖公章。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详见附件：项目理解、重难点分析.docx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详见附件：食材原料管理方案.docx</w:t>
      </w:r>
    </w:p>
    <w:p>
      <w:pPr>
        <w:pStyle w:val="null3"/>
        <w:ind w:firstLine="960"/>
      </w:pPr>
      <w:r>
        <w:rPr>
          <w:rFonts w:ascii="仿宋_GB2312" w:hAnsi="仿宋_GB2312" w:cs="仿宋_GB2312" w:eastAsia="仿宋_GB2312"/>
        </w:rPr>
        <w:t>详见附件：管理方案.docx</w:t>
      </w:r>
    </w:p>
    <w:p>
      <w:pPr>
        <w:pStyle w:val="null3"/>
        <w:ind w:firstLine="960"/>
      </w:pPr>
      <w:r>
        <w:rPr>
          <w:rFonts w:ascii="仿宋_GB2312" w:hAnsi="仿宋_GB2312" w:cs="仿宋_GB2312" w:eastAsia="仿宋_GB2312"/>
        </w:rPr>
        <w:t>详见附件：食品制作、加工方案.docx</w:t>
      </w:r>
    </w:p>
    <w:p>
      <w:pPr>
        <w:pStyle w:val="null3"/>
        <w:ind w:firstLine="960"/>
      </w:pPr>
      <w:r>
        <w:rPr>
          <w:rFonts w:ascii="仿宋_GB2312" w:hAnsi="仿宋_GB2312" w:cs="仿宋_GB2312" w:eastAsia="仿宋_GB2312"/>
        </w:rPr>
        <w:t>详见附件：卫生保洁方案.docx</w:t>
      </w:r>
    </w:p>
    <w:p>
      <w:pPr>
        <w:pStyle w:val="null3"/>
        <w:ind w:firstLine="960"/>
      </w:pPr>
      <w:r>
        <w:rPr>
          <w:rFonts w:ascii="仿宋_GB2312" w:hAnsi="仿宋_GB2312" w:cs="仿宋_GB2312" w:eastAsia="仿宋_GB2312"/>
        </w:rPr>
        <w:t>详见附件：设施管理方案.docx</w:t>
      </w:r>
    </w:p>
    <w:p>
      <w:pPr>
        <w:pStyle w:val="null3"/>
        <w:ind w:firstLine="960"/>
      </w:pPr>
      <w:r>
        <w:rPr>
          <w:rFonts w:ascii="仿宋_GB2312" w:hAnsi="仿宋_GB2312" w:cs="仿宋_GB2312" w:eastAsia="仿宋_GB2312"/>
        </w:rPr>
        <w:t>详见附件：成本控制措施.docx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