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2A5CE">
      <w:pPr>
        <w:adjustRightInd w:val="0"/>
        <w:snapToGrid w:val="0"/>
        <w:spacing w:line="360" w:lineRule="auto"/>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采购需求</w:t>
      </w:r>
    </w:p>
    <w:p w14:paraId="4859EDEE">
      <w:pPr>
        <w:adjustRightInd w:val="0"/>
        <w:snapToGrid w:val="0"/>
        <w:spacing w:line="360" w:lineRule="auto"/>
        <w:rPr>
          <w:rFonts w:hint="eastAsia" w:ascii="仿宋" w:hAnsi="仿宋" w:eastAsia="仿宋" w:cs="仿宋"/>
          <w:sz w:val="20"/>
          <w:szCs w:val="20"/>
        </w:rPr>
      </w:pPr>
      <w:r>
        <w:rPr>
          <w:rFonts w:hint="eastAsia" w:ascii="仿宋" w:hAnsi="仿宋" w:eastAsia="仿宋" w:cs="仿宋"/>
          <w:sz w:val="20"/>
          <w:szCs w:val="20"/>
        </w:rPr>
        <w:t>1、服务范围</w:t>
      </w:r>
    </w:p>
    <w:p w14:paraId="3D099A27">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陕西省地质灾害易发地区，范围覆盖101个区县（不包括咸阳市秦都区、西安市新城区、碑林区、莲湖区、未央区、阎良区），面积约204700平方千米。</w:t>
      </w:r>
    </w:p>
    <w:p w14:paraId="346BAA14">
      <w:pPr>
        <w:adjustRightInd w:val="0"/>
        <w:snapToGrid w:val="0"/>
        <w:spacing w:line="360" w:lineRule="auto"/>
        <w:rPr>
          <w:rFonts w:hint="eastAsia" w:ascii="仿宋" w:hAnsi="仿宋" w:eastAsia="仿宋" w:cs="仿宋"/>
          <w:sz w:val="20"/>
          <w:szCs w:val="20"/>
        </w:rPr>
      </w:pPr>
      <w:r>
        <w:rPr>
          <w:rFonts w:hint="eastAsia" w:ascii="仿宋" w:hAnsi="仿宋" w:eastAsia="仿宋" w:cs="仿宋"/>
          <w:sz w:val="20"/>
          <w:szCs w:val="20"/>
        </w:rPr>
        <w:t>2、服务要求</w:t>
      </w:r>
      <w:bookmarkStart w:id="1" w:name="_GoBack"/>
      <w:bookmarkEnd w:id="1"/>
    </w:p>
    <w:p w14:paraId="47EB17D1">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（1）服务内容</w:t>
      </w:r>
    </w:p>
    <w:p w14:paraId="20FD85B8">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1）陕西省地质灾害区地形要素数据更新</w:t>
      </w:r>
    </w:p>
    <w:p w14:paraId="38FFA0B0">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以2025版1:10000地形要素数据为本底，利用高分辨率数字正射影像及专题资料，完成省内101个地质灾害重点区县、总面积约204700平方千米区域内的境界政区、管线、地名等地理信息数据的更新。</w:t>
      </w:r>
    </w:p>
    <w:p w14:paraId="41C4464C">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①数学基础</w:t>
      </w:r>
    </w:p>
    <w:p w14:paraId="21C99A97">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平面坐标系：2000国家大地坐标系。</w:t>
      </w:r>
    </w:p>
    <w:p w14:paraId="4E3C698C">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高程基准：1985国家高程基准。</w:t>
      </w:r>
    </w:p>
    <w:p w14:paraId="7EA9FFC4">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投影与分带方式：采用高斯—克吕格投影，按3°分带，成果不加投影带号。</w:t>
      </w:r>
    </w:p>
    <w:p w14:paraId="5AC5EF39">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数据坐标单位：米。</w:t>
      </w:r>
    </w:p>
    <w:p w14:paraId="767742A2">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分幅编号：按照GB/T 13989-2012《国家基本比例尺地形图分幅和编号》执行。空间存储单元为3′45 ″（经差）×2′30″（纬差）。</w:t>
      </w:r>
    </w:p>
    <w:p w14:paraId="58443464">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②平面及高程精度指标</w:t>
      </w:r>
    </w:p>
    <w:p w14:paraId="4B9ABDC3">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地物点对附近野外控制点的平面位置中误差和高程中误差不大于下表的规定。</w:t>
      </w:r>
    </w:p>
    <w:p w14:paraId="0A6ECF17">
      <w:pPr>
        <w:adjustRightInd w:val="0"/>
        <w:snapToGrid w:val="0"/>
        <w:jc w:val="center"/>
        <w:rPr>
          <w:rFonts w:hint="eastAsia" w:ascii="仿宋" w:hAnsi="仿宋" w:eastAsia="仿宋" w:cs="仿宋"/>
          <w:sz w:val="20"/>
          <w:szCs w:val="20"/>
        </w:rPr>
      </w:pPr>
      <w:r>
        <w:rPr>
          <w:rFonts w:hint="eastAsia" w:ascii="仿宋" w:hAnsi="仿宋" w:eastAsia="仿宋" w:cs="仿宋"/>
          <w:sz w:val="20"/>
          <w:szCs w:val="20"/>
        </w:rPr>
        <w:t>表1 地物点对附近野外控制点的平面位置及高程中误差</w:t>
      </w:r>
    </w:p>
    <w:p w14:paraId="580B5263">
      <w:pPr>
        <w:adjustRightInd w:val="0"/>
        <w:snapToGrid w:val="0"/>
        <w:jc w:val="right"/>
        <w:rPr>
          <w:rFonts w:hint="eastAsia" w:ascii="仿宋" w:hAnsi="仿宋" w:eastAsia="仿宋" w:cs="仿宋"/>
          <w:sz w:val="20"/>
          <w:szCs w:val="20"/>
        </w:rPr>
      </w:pPr>
      <w:r>
        <w:rPr>
          <w:rFonts w:hint="eastAsia" w:ascii="仿宋" w:hAnsi="仿宋" w:eastAsia="仿宋" w:cs="仿宋"/>
          <w:sz w:val="20"/>
          <w:szCs w:val="20"/>
        </w:rPr>
        <w:t>（单位：m）</w:t>
      </w:r>
    </w:p>
    <w:tbl>
      <w:tblPr>
        <w:tblStyle w:val="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2449"/>
        <w:gridCol w:w="2072"/>
        <w:gridCol w:w="2305"/>
      </w:tblGrid>
      <w:tr w14:paraId="5885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1" w:hRule="atLeast"/>
          <w:jc w:val="center"/>
        </w:trPr>
        <w:tc>
          <w:tcPr>
            <w:tcW w:w="1696" w:type="dxa"/>
            <w:vMerge w:val="restart"/>
            <w:tcBorders>
              <w:top w:val="single" w:color="auto" w:sz="4" w:space="0"/>
              <w:left w:val="single" w:color="auto" w:sz="4" w:space="0"/>
              <w:bottom w:val="single" w:color="auto" w:sz="4" w:space="0"/>
              <w:right w:val="single" w:color="auto" w:sz="4" w:space="0"/>
            </w:tcBorders>
            <w:shd w:val="clear" w:color="auto" w:fill="EEECE1"/>
            <w:vAlign w:val="center"/>
          </w:tcPr>
          <w:p w14:paraId="4564802C">
            <w:pPr>
              <w:snapToGrid w:val="0"/>
              <w:jc w:val="center"/>
              <w:rPr>
                <w:rFonts w:hint="eastAsia" w:ascii="仿宋" w:hAnsi="仿宋" w:eastAsia="仿宋" w:cs="仿宋"/>
                <w:b/>
                <w:sz w:val="18"/>
                <w:szCs w:val="18"/>
              </w:rPr>
            </w:pPr>
            <w:r>
              <w:rPr>
                <w:rFonts w:hint="eastAsia" w:ascii="仿宋" w:hAnsi="仿宋" w:eastAsia="仿宋" w:cs="仿宋"/>
                <w:b/>
                <w:sz w:val="18"/>
                <w:szCs w:val="18"/>
              </w:rPr>
              <w:t>地形类别</w:t>
            </w:r>
          </w:p>
        </w:tc>
        <w:tc>
          <w:tcPr>
            <w:tcW w:w="2449" w:type="dxa"/>
            <w:vMerge w:val="restart"/>
            <w:tcBorders>
              <w:top w:val="single" w:color="auto" w:sz="4" w:space="0"/>
              <w:left w:val="single" w:color="auto" w:sz="4" w:space="0"/>
              <w:bottom w:val="single" w:color="auto" w:sz="4" w:space="0"/>
              <w:right w:val="single" w:color="auto" w:sz="4" w:space="0"/>
            </w:tcBorders>
            <w:shd w:val="clear" w:color="auto" w:fill="EEECE1"/>
            <w:vAlign w:val="center"/>
          </w:tcPr>
          <w:p w14:paraId="3B95FA84">
            <w:pPr>
              <w:snapToGrid w:val="0"/>
              <w:jc w:val="center"/>
              <w:rPr>
                <w:rFonts w:hint="eastAsia" w:ascii="仿宋" w:hAnsi="仿宋" w:eastAsia="仿宋" w:cs="仿宋"/>
                <w:b/>
                <w:sz w:val="18"/>
                <w:szCs w:val="18"/>
              </w:rPr>
            </w:pPr>
            <w:r>
              <w:rPr>
                <w:rFonts w:hint="eastAsia" w:ascii="仿宋" w:hAnsi="仿宋" w:eastAsia="仿宋" w:cs="仿宋"/>
                <w:b/>
                <w:sz w:val="18"/>
                <w:szCs w:val="18"/>
              </w:rPr>
              <w:t>地物点</w:t>
            </w:r>
          </w:p>
          <w:p w14:paraId="03B86E54">
            <w:pPr>
              <w:snapToGrid w:val="0"/>
              <w:jc w:val="center"/>
              <w:rPr>
                <w:rFonts w:hint="eastAsia" w:ascii="仿宋" w:hAnsi="仿宋" w:eastAsia="仿宋" w:cs="仿宋"/>
                <w:b/>
                <w:sz w:val="18"/>
                <w:szCs w:val="18"/>
              </w:rPr>
            </w:pPr>
            <w:r>
              <w:rPr>
                <w:rFonts w:hint="eastAsia" w:ascii="仿宋" w:hAnsi="仿宋" w:eastAsia="仿宋" w:cs="仿宋"/>
                <w:b/>
                <w:sz w:val="18"/>
                <w:szCs w:val="18"/>
              </w:rPr>
              <w:t>平面位置中误差</w:t>
            </w:r>
          </w:p>
        </w:tc>
        <w:tc>
          <w:tcPr>
            <w:tcW w:w="4377" w:type="dxa"/>
            <w:gridSpan w:val="2"/>
            <w:tcBorders>
              <w:top w:val="single" w:color="auto" w:sz="4" w:space="0"/>
              <w:left w:val="single" w:color="auto" w:sz="4" w:space="0"/>
              <w:bottom w:val="single" w:color="auto" w:sz="4" w:space="0"/>
              <w:right w:val="single" w:color="auto" w:sz="4" w:space="0"/>
            </w:tcBorders>
            <w:shd w:val="clear" w:color="auto" w:fill="EEECE1"/>
            <w:vAlign w:val="center"/>
          </w:tcPr>
          <w:p w14:paraId="556D2DDC">
            <w:pPr>
              <w:snapToGrid w:val="0"/>
              <w:jc w:val="center"/>
              <w:rPr>
                <w:rFonts w:hint="eastAsia" w:ascii="仿宋" w:hAnsi="仿宋" w:eastAsia="仿宋" w:cs="仿宋"/>
                <w:b/>
                <w:sz w:val="18"/>
                <w:szCs w:val="18"/>
              </w:rPr>
            </w:pPr>
            <w:r>
              <w:rPr>
                <w:rFonts w:hint="eastAsia" w:ascii="仿宋" w:hAnsi="仿宋" w:eastAsia="仿宋" w:cs="仿宋"/>
                <w:b/>
                <w:sz w:val="18"/>
                <w:szCs w:val="18"/>
              </w:rPr>
              <w:t>高程中误差</w:t>
            </w:r>
          </w:p>
        </w:tc>
      </w:tr>
      <w:tr w14:paraId="14D5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jc w:val="center"/>
        </w:trPr>
        <w:tc>
          <w:tcPr>
            <w:tcW w:w="1696" w:type="dxa"/>
            <w:vMerge w:val="continue"/>
            <w:tcBorders>
              <w:top w:val="single" w:color="auto" w:sz="4" w:space="0"/>
              <w:left w:val="single" w:color="auto" w:sz="4" w:space="0"/>
              <w:bottom w:val="single" w:color="auto" w:sz="4" w:space="0"/>
              <w:right w:val="single" w:color="auto" w:sz="4" w:space="0"/>
            </w:tcBorders>
            <w:shd w:val="clear" w:color="auto" w:fill="EEECE1"/>
            <w:vAlign w:val="center"/>
          </w:tcPr>
          <w:p w14:paraId="06CC37C4">
            <w:pPr>
              <w:snapToGrid w:val="0"/>
              <w:jc w:val="center"/>
              <w:rPr>
                <w:rFonts w:hint="eastAsia" w:ascii="仿宋" w:hAnsi="仿宋" w:eastAsia="仿宋" w:cs="仿宋"/>
                <w:b/>
                <w:sz w:val="18"/>
                <w:szCs w:val="18"/>
              </w:rPr>
            </w:pPr>
          </w:p>
        </w:tc>
        <w:tc>
          <w:tcPr>
            <w:tcW w:w="2449" w:type="dxa"/>
            <w:vMerge w:val="continue"/>
            <w:tcBorders>
              <w:top w:val="single" w:color="auto" w:sz="4" w:space="0"/>
              <w:left w:val="single" w:color="auto" w:sz="4" w:space="0"/>
              <w:bottom w:val="single" w:color="auto" w:sz="4" w:space="0"/>
              <w:right w:val="single" w:color="auto" w:sz="4" w:space="0"/>
            </w:tcBorders>
            <w:shd w:val="clear" w:color="auto" w:fill="EEECE1"/>
            <w:vAlign w:val="center"/>
          </w:tcPr>
          <w:p w14:paraId="63841A7D">
            <w:pPr>
              <w:snapToGrid w:val="0"/>
              <w:jc w:val="center"/>
              <w:rPr>
                <w:rFonts w:hint="eastAsia" w:ascii="仿宋" w:hAnsi="仿宋" w:eastAsia="仿宋" w:cs="仿宋"/>
                <w:b/>
                <w:sz w:val="18"/>
                <w:szCs w:val="18"/>
              </w:rPr>
            </w:pPr>
          </w:p>
        </w:tc>
        <w:tc>
          <w:tcPr>
            <w:tcW w:w="2072" w:type="dxa"/>
            <w:tcBorders>
              <w:top w:val="single" w:color="auto" w:sz="4" w:space="0"/>
              <w:left w:val="single" w:color="auto" w:sz="4" w:space="0"/>
              <w:bottom w:val="single" w:color="auto" w:sz="4" w:space="0"/>
              <w:right w:val="single" w:color="auto" w:sz="4" w:space="0"/>
            </w:tcBorders>
            <w:shd w:val="clear" w:color="auto" w:fill="EEECE1"/>
            <w:vAlign w:val="center"/>
          </w:tcPr>
          <w:p w14:paraId="5DF927C4">
            <w:pPr>
              <w:snapToGrid w:val="0"/>
              <w:jc w:val="center"/>
              <w:rPr>
                <w:rFonts w:hint="eastAsia" w:ascii="仿宋" w:hAnsi="仿宋" w:eastAsia="仿宋" w:cs="仿宋"/>
                <w:b/>
                <w:sz w:val="18"/>
                <w:szCs w:val="18"/>
              </w:rPr>
            </w:pPr>
            <w:r>
              <w:rPr>
                <w:rFonts w:hint="eastAsia" w:ascii="仿宋" w:hAnsi="仿宋" w:eastAsia="仿宋" w:cs="仿宋"/>
                <w:b/>
                <w:sz w:val="18"/>
                <w:szCs w:val="18"/>
              </w:rPr>
              <w:t>高程注记点</w:t>
            </w:r>
          </w:p>
        </w:tc>
        <w:tc>
          <w:tcPr>
            <w:tcW w:w="2305" w:type="dxa"/>
            <w:tcBorders>
              <w:top w:val="single" w:color="auto" w:sz="4" w:space="0"/>
              <w:left w:val="single" w:color="auto" w:sz="4" w:space="0"/>
              <w:bottom w:val="single" w:color="auto" w:sz="4" w:space="0"/>
              <w:right w:val="single" w:color="auto" w:sz="4" w:space="0"/>
            </w:tcBorders>
            <w:shd w:val="clear" w:color="auto" w:fill="EEECE1"/>
            <w:vAlign w:val="center"/>
          </w:tcPr>
          <w:p w14:paraId="3A777BCC">
            <w:pPr>
              <w:snapToGrid w:val="0"/>
              <w:jc w:val="center"/>
              <w:rPr>
                <w:rFonts w:hint="eastAsia" w:ascii="仿宋" w:hAnsi="仿宋" w:eastAsia="仿宋" w:cs="仿宋"/>
                <w:b/>
                <w:sz w:val="18"/>
                <w:szCs w:val="18"/>
              </w:rPr>
            </w:pPr>
            <w:r>
              <w:rPr>
                <w:rFonts w:hint="eastAsia" w:ascii="仿宋" w:hAnsi="仿宋" w:eastAsia="仿宋" w:cs="仿宋"/>
                <w:b/>
                <w:sz w:val="18"/>
                <w:szCs w:val="18"/>
              </w:rPr>
              <w:t>等高线</w:t>
            </w:r>
          </w:p>
        </w:tc>
      </w:tr>
      <w:tr w14:paraId="092D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1696" w:type="dxa"/>
            <w:tcBorders>
              <w:top w:val="single" w:color="auto" w:sz="4" w:space="0"/>
              <w:left w:val="single" w:color="auto" w:sz="4" w:space="0"/>
              <w:bottom w:val="single" w:color="auto" w:sz="4" w:space="0"/>
              <w:right w:val="single" w:color="auto" w:sz="4" w:space="0"/>
            </w:tcBorders>
            <w:vAlign w:val="center"/>
          </w:tcPr>
          <w:p w14:paraId="4AD457DA">
            <w:pPr>
              <w:snapToGrid w:val="0"/>
              <w:jc w:val="center"/>
              <w:rPr>
                <w:rFonts w:hint="eastAsia" w:ascii="仿宋" w:hAnsi="仿宋" w:eastAsia="仿宋" w:cs="仿宋"/>
                <w:bCs/>
                <w:sz w:val="18"/>
                <w:szCs w:val="18"/>
              </w:rPr>
            </w:pPr>
            <w:r>
              <w:rPr>
                <w:rFonts w:hint="eastAsia" w:ascii="仿宋" w:hAnsi="仿宋" w:eastAsia="仿宋" w:cs="仿宋"/>
                <w:bCs/>
                <w:sz w:val="18"/>
                <w:szCs w:val="18"/>
              </w:rPr>
              <w:t>平地</w:t>
            </w:r>
          </w:p>
        </w:tc>
        <w:tc>
          <w:tcPr>
            <w:tcW w:w="2449" w:type="dxa"/>
            <w:tcBorders>
              <w:top w:val="single" w:color="auto" w:sz="4" w:space="0"/>
              <w:left w:val="single" w:color="auto" w:sz="4" w:space="0"/>
              <w:bottom w:val="single" w:color="auto" w:sz="4" w:space="0"/>
              <w:right w:val="single" w:color="auto" w:sz="4" w:space="0"/>
            </w:tcBorders>
            <w:vAlign w:val="center"/>
          </w:tcPr>
          <w:p w14:paraId="4F3B1817">
            <w:pPr>
              <w:snapToGrid w:val="0"/>
              <w:jc w:val="center"/>
              <w:rPr>
                <w:rFonts w:hint="eastAsia" w:ascii="仿宋" w:hAnsi="仿宋" w:eastAsia="仿宋" w:cs="仿宋"/>
                <w:bCs/>
                <w:sz w:val="18"/>
                <w:szCs w:val="18"/>
              </w:rPr>
            </w:pPr>
            <w:r>
              <w:rPr>
                <w:rFonts w:hint="eastAsia" w:ascii="仿宋" w:hAnsi="仿宋" w:eastAsia="仿宋" w:cs="仿宋"/>
                <w:bCs/>
                <w:sz w:val="18"/>
                <w:szCs w:val="18"/>
              </w:rPr>
              <w:t>5.0</w:t>
            </w:r>
          </w:p>
        </w:tc>
        <w:tc>
          <w:tcPr>
            <w:tcW w:w="2072" w:type="dxa"/>
            <w:tcBorders>
              <w:top w:val="single" w:color="auto" w:sz="4" w:space="0"/>
              <w:left w:val="single" w:color="auto" w:sz="4" w:space="0"/>
              <w:bottom w:val="single" w:color="auto" w:sz="4" w:space="0"/>
              <w:right w:val="single" w:color="auto" w:sz="4" w:space="0"/>
            </w:tcBorders>
            <w:vAlign w:val="center"/>
          </w:tcPr>
          <w:p w14:paraId="291818A7">
            <w:pPr>
              <w:snapToGrid w:val="0"/>
              <w:jc w:val="center"/>
              <w:rPr>
                <w:rFonts w:hint="eastAsia" w:ascii="仿宋" w:hAnsi="仿宋" w:eastAsia="仿宋" w:cs="仿宋"/>
                <w:bCs/>
                <w:sz w:val="18"/>
                <w:szCs w:val="18"/>
              </w:rPr>
            </w:pPr>
            <w:r>
              <w:rPr>
                <w:rFonts w:hint="eastAsia" w:ascii="仿宋" w:hAnsi="仿宋" w:eastAsia="仿宋" w:cs="仿宋"/>
                <w:bCs/>
                <w:sz w:val="18"/>
                <w:szCs w:val="18"/>
              </w:rPr>
              <w:t>0.35</w:t>
            </w:r>
          </w:p>
        </w:tc>
        <w:tc>
          <w:tcPr>
            <w:tcW w:w="2305" w:type="dxa"/>
            <w:tcBorders>
              <w:top w:val="single" w:color="auto" w:sz="4" w:space="0"/>
              <w:left w:val="single" w:color="auto" w:sz="4" w:space="0"/>
              <w:bottom w:val="single" w:color="auto" w:sz="4" w:space="0"/>
              <w:right w:val="single" w:color="auto" w:sz="4" w:space="0"/>
            </w:tcBorders>
            <w:vAlign w:val="center"/>
          </w:tcPr>
          <w:p w14:paraId="1C768088">
            <w:pPr>
              <w:snapToGrid w:val="0"/>
              <w:jc w:val="center"/>
              <w:rPr>
                <w:rFonts w:hint="eastAsia" w:ascii="仿宋" w:hAnsi="仿宋" w:eastAsia="仿宋" w:cs="仿宋"/>
                <w:bCs/>
                <w:sz w:val="18"/>
                <w:szCs w:val="18"/>
              </w:rPr>
            </w:pPr>
            <w:r>
              <w:rPr>
                <w:rFonts w:hint="eastAsia" w:ascii="仿宋" w:hAnsi="仿宋" w:eastAsia="仿宋" w:cs="仿宋"/>
                <w:bCs/>
                <w:sz w:val="18"/>
                <w:szCs w:val="18"/>
              </w:rPr>
              <w:t>0.5</w:t>
            </w:r>
          </w:p>
        </w:tc>
      </w:tr>
      <w:tr w14:paraId="48EB5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1696" w:type="dxa"/>
            <w:tcBorders>
              <w:top w:val="single" w:color="auto" w:sz="4" w:space="0"/>
              <w:left w:val="single" w:color="auto" w:sz="4" w:space="0"/>
              <w:bottom w:val="single" w:color="auto" w:sz="4" w:space="0"/>
              <w:right w:val="single" w:color="auto" w:sz="4" w:space="0"/>
            </w:tcBorders>
            <w:vAlign w:val="center"/>
          </w:tcPr>
          <w:p w14:paraId="3883E7EF">
            <w:pPr>
              <w:snapToGrid w:val="0"/>
              <w:jc w:val="center"/>
              <w:rPr>
                <w:rFonts w:hint="eastAsia" w:ascii="仿宋" w:hAnsi="仿宋" w:eastAsia="仿宋" w:cs="仿宋"/>
                <w:bCs/>
                <w:sz w:val="18"/>
                <w:szCs w:val="18"/>
              </w:rPr>
            </w:pPr>
            <w:r>
              <w:rPr>
                <w:rFonts w:hint="eastAsia" w:ascii="仿宋" w:hAnsi="仿宋" w:eastAsia="仿宋" w:cs="仿宋"/>
                <w:bCs/>
                <w:sz w:val="18"/>
                <w:szCs w:val="18"/>
              </w:rPr>
              <w:t>丘陵</w:t>
            </w:r>
          </w:p>
        </w:tc>
        <w:tc>
          <w:tcPr>
            <w:tcW w:w="2449" w:type="dxa"/>
            <w:tcBorders>
              <w:top w:val="single" w:color="auto" w:sz="4" w:space="0"/>
              <w:left w:val="single" w:color="auto" w:sz="4" w:space="0"/>
              <w:bottom w:val="single" w:color="auto" w:sz="4" w:space="0"/>
              <w:right w:val="single" w:color="auto" w:sz="4" w:space="0"/>
            </w:tcBorders>
            <w:vAlign w:val="center"/>
          </w:tcPr>
          <w:p w14:paraId="37658541">
            <w:pPr>
              <w:snapToGrid w:val="0"/>
              <w:jc w:val="center"/>
              <w:rPr>
                <w:rFonts w:hint="eastAsia" w:ascii="仿宋" w:hAnsi="仿宋" w:eastAsia="仿宋" w:cs="仿宋"/>
                <w:bCs/>
                <w:sz w:val="18"/>
                <w:szCs w:val="18"/>
              </w:rPr>
            </w:pPr>
            <w:r>
              <w:rPr>
                <w:rFonts w:hint="eastAsia" w:ascii="仿宋" w:hAnsi="仿宋" w:eastAsia="仿宋" w:cs="仿宋"/>
                <w:bCs/>
                <w:sz w:val="18"/>
                <w:szCs w:val="18"/>
              </w:rPr>
              <w:t>5.0</w:t>
            </w:r>
          </w:p>
        </w:tc>
        <w:tc>
          <w:tcPr>
            <w:tcW w:w="2072" w:type="dxa"/>
            <w:tcBorders>
              <w:top w:val="single" w:color="auto" w:sz="4" w:space="0"/>
              <w:left w:val="single" w:color="auto" w:sz="4" w:space="0"/>
              <w:bottom w:val="single" w:color="auto" w:sz="4" w:space="0"/>
              <w:right w:val="single" w:color="auto" w:sz="4" w:space="0"/>
            </w:tcBorders>
            <w:vAlign w:val="center"/>
          </w:tcPr>
          <w:p w14:paraId="4CB5E8C0">
            <w:pPr>
              <w:snapToGrid w:val="0"/>
              <w:jc w:val="center"/>
              <w:rPr>
                <w:rFonts w:hint="eastAsia" w:ascii="仿宋" w:hAnsi="仿宋" w:eastAsia="仿宋" w:cs="仿宋"/>
                <w:bCs/>
                <w:sz w:val="18"/>
                <w:szCs w:val="18"/>
              </w:rPr>
            </w:pPr>
            <w:r>
              <w:rPr>
                <w:rFonts w:hint="eastAsia" w:ascii="仿宋" w:hAnsi="仿宋" w:eastAsia="仿宋" w:cs="仿宋"/>
                <w:bCs/>
                <w:sz w:val="18"/>
                <w:szCs w:val="18"/>
              </w:rPr>
              <w:t>1.2</w:t>
            </w:r>
          </w:p>
        </w:tc>
        <w:tc>
          <w:tcPr>
            <w:tcW w:w="2305" w:type="dxa"/>
            <w:tcBorders>
              <w:top w:val="single" w:color="auto" w:sz="4" w:space="0"/>
              <w:left w:val="single" w:color="auto" w:sz="4" w:space="0"/>
              <w:bottom w:val="single" w:color="auto" w:sz="4" w:space="0"/>
              <w:right w:val="single" w:color="auto" w:sz="4" w:space="0"/>
            </w:tcBorders>
            <w:vAlign w:val="center"/>
          </w:tcPr>
          <w:p w14:paraId="79AEFB4B">
            <w:pPr>
              <w:snapToGrid w:val="0"/>
              <w:jc w:val="center"/>
              <w:rPr>
                <w:rFonts w:hint="eastAsia" w:ascii="仿宋" w:hAnsi="仿宋" w:eastAsia="仿宋" w:cs="仿宋"/>
                <w:bCs/>
                <w:sz w:val="18"/>
                <w:szCs w:val="18"/>
              </w:rPr>
            </w:pPr>
            <w:r>
              <w:rPr>
                <w:rFonts w:hint="eastAsia" w:ascii="仿宋" w:hAnsi="仿宋" w:eastAsia="仿宋" w:cs="仿宋"/>
                <w:bCs/>
                <w:sz w:val="18"/>
                <w:szCs w:val="18"/>
              </w:rPr>
              <w:t>1.5</w:t>
            </w:r>
          </w:p>
        </w:tc>
      </w:tr>
      <w:tr w14:paraId="2EC76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1696" w:type="dxa"/>
            <w:tcBorders>
              <w:top w:val="single" w:color="auto" w:sz="4" w:space="0"/>
              <w:left w:val="single" w:color="auto" w:sz="4" w:space="0"/>
              <w:bottom w:val="single" w:color="auto" w:sz="4" w:space="0"/>
              <w:right w:val="single" w:color="auto" w:sz="4" w:space="0"/>
            </w:tcBorders>
            <w:vAlign w:val="center"/>
          </w:tcPr>
          <w:p w14:paraId="0822A6C1">
            <w:pPr>
              <w:snapToGrid w:val="0"/>
              <w:jc w:val="center"/>
              <w:rPr>
                <w:rFonts w:hint="eastAsia" w:ascii="仿宋" w:hAnsi="仿宋" w:eastAsia="仿宋" w:cs="仿宋"/>
                <w:bCs/>
                <w:sz w:val="18"/>
                <w:szCs w:val="18"/>
              </w:rPr>
            </w:pPr>
            <w:r>
              <w:rPr>
                <w:rFonts w:hint="eastAsia" w:ascii="仿宋" w:hAnsi="仿宋" w:eastAsia="仿宋" w:cs="仿宋"/>
                <w:bCs/>
                <w:sz w:val="18"/>
                <w:szCs w:val="18"/>
              </w:rPr>
              <w:t>山地</w:t>
            </w:r>
          </w:p>
        </w:tc>
        <w:tc>
          <w:tcPr>
            <w:tcW w:w="2449" w:type="dxa"/>
            <w:tcBorders>
              <w:top w:val="single" w:color="auto" w:sz="4" w:space="0"/>
              <w:left w:val="single" w:color="auto" w:sz="4" w:space="0"/>
              <w:bottom w:val="single" w:color="auto" w:sz="4" w:space="0"/>
              <w:right w:val="single" w:color="auto" w:sz="4" w:space="0"/>
            </w:tcBorders>
            <w:vAlign w:val="center"/>
          </w:tcPr>
          <w:p w14:paraId="3463FEC0">
            <w:pPr>
              <w:snapToGrid w:val="0"/>
              <w:jc w:val="center"/>
              <w:rPr>
                <w:rFonts w:hint="eastAsia" w:ascii="仿宋" w:hAnsi="仿宋" w:eastAsia="仿宋" w:cs="仿宋"/>
                <w:bCs/>
                <w:sz w:val="18"/>
                <w:szCs w:val="18"/>
              </w:rPr>
            </w:pPr>
            <w:r>
              <w:rPr>
                <w:rFonts w:hint="eastAsia" w:ascii="仿宋" w:hAnsi="仿宋" w:eastAsia="仿宋" w:cs="仿宋"/>
                <w:bCs/>
                <w:sz w:val="18"/>
                <w:szCs w:val="18"/>
              </w:rPr>
              <w:t>7.5</w:t>
            </w:r>
          </w:p>
        </w:tc>
        <w:tc>
          <w:tcPr>
            <w:tcW w:w="2072" w:type="dxa"/>
            <w:tcBorders>
              <w:top w:val="single" w:color="auto" w:sz="4" w:space="0"/>
              <w:left w:val="single" w:color="auto" w:sz="4" w:space="0"/>
              <w:bottom w:val="single" w:color="auto" w:sz="4" w:space="0"/>
              <w:right w:val="single" w:color="auto" w:sz="4" w:space="0"/>
            </w:tcBorders>
            <w:vAlign w:val="center"/>
          </w:tcPr>
          <w:p w14:paraId="7B30CDE9">
            <w:pPr>
              <w:snapToGrid w:val="0"/>
              <w:jc w:val="center"/>
              <w:rPr>
                <w:rFonts w:hint="eastAsia" w:ascii="仿宋" w:hAnsi="仿宋" w:eastAsia="仿宋" w:cs="仿宋"/>
                <w:bCs/>
                <w:sz w:val="18"/>
                <w:szCs w:val="18"/>
              </w:rPr>
            </w:pPr>
            <w:r>
              <w:rPr>
                <w:rFonts w:hint="eastAsia" w:ascii="仿宋" w:hAnsi="仿宋" w:eastAsia="仿宋" w:cs="仿宋"/>
                <w:bCs/>
                <w:sz w:val="18"/>
                <w:szCs w:val="18"/>
              </w:rPr>
              <w:t>2.5</w:t>
            </w:r>
          </w:p>
        </w:tc>
        <w:tc>
          <w:tcPr>
            <w:tcW w:w="2305" w:type="dxa"/>
            <w:tcBorders>
              <w:top w:val="single" w:color="auto" w:sz="4" w:space="0"/>
              <w:left w:val="single" w:color="auto" w:sz="4" w:space="0"/>
              <w:bottom w:val="single" w:color="auto" w:sz="4" w:space="0"/>
              <w:right w:val="single" w:color="auto" w:sz="4" w:space="0"/>
            </w:tcBorders>
            <w:vAlign w:val="center"/>
          </w:tcPr>
          <w:p w14:paraId="1A584C66">
            <w:pPr>
              <w:snapToGrid w:val="0"/>
              <w:jc w:val="center"/>
              <w:rPr>
                <w:rFonts w:hint="eastAsia" w:ascii="仿宋" w:hAnsi="仿宋" w:eastAsia="仿宋" w:cs="仿宋"/>
                <w:bCs/>
                <w:sz w:val="18"/>
                <w:szCs w:val="18"/>
              </w:rPr>
            </w:pPr>
            <w:r>
              <w:rPr>
                <w:rFonts w:hint="eastAsia" w:ascii="仿宋" w:hAnsi="仿宋" w:eastAsia="仿宋" w:cs="仿宋"/>
                <w:bCs/>
                <w:sz w:val="18"/>
                <w:szCs w:val="18"/>
              </w:rPr>
              <w:t>3.0</w:t>
            </w:r>
          </w:p>
          <w:p w14:paraId="48779622">
            <w:pPr>
              <w:snapToGrid w:val="0"/>
              <w:jc w:val="center"/>
              <w:rPr>
                <w:rFonts w:hint="eastAsia" w:ascii="仿宋" w:hAnsi="仿宋" w:eastAsia="仿宋" w:cs="仿宋"/>
                <w:bCs/>
                <w:sz w:val="18"/>
                <w:szCs w:val="18"/>
              </w:rPr>
            </w:pPr>
            <w:r>
              <w:rPr>
                <w:rFonts w:hint="eastAsia" w:ascii="仿宋" w:hAnsi="仿宋" w:eastAsia="仿宋" w:cs="仿宋"/>
                <w:bCs/>
                <w:sz w:val="18"/>
                <w:szCs w:val="18"/>
              </w:rPr>
              <w:t>（地形变换点）</w:t>
            </w:r>
          </w:p>
        </w:tc>
      </w:tr>
      <w:tr w14:paraId="5DDC0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jc w:val="center"/>
        </w:trPr>
        <w:tc>
          <w:tcPr>
            <w:tcW w:w="1696" w:type="dxa"/>
            <w:tcBorders>
              <w:top w:val="single" w:color="auto" w:sz="4" w:space="0"/>
              <w:left w:val="single" w:color="auto" w:sz="4" w:space="0"/>
              <w:bottom w:val="single" w:color="auto" w:sz="4" w:space="0"/>
              <w:right w:val="single" w:color="auto" w:sz="4" w:space="0"/>
            </w:tcBorders>
            <w:vAlign w:val="center"/>
          </w:tcPr>
          <w:p w14:paraId="34027B28">
            <w:pPr>
              <w:snapToGrid w:val="0"/>
              <w:jc w:val="center"/>
              <w:rPr>
                <w:rFonts w:hint="eastAsia" w:ascii="仿宋" w:hAnsi="仿宋" w:eastAsia="仿宋" w:cs="仿宋"/>
                <w:bCs/>
                <w:sz w:val="18"/>
                <w:szCs w:val="18"/>
              </w:rPr>
            </w:pPr>
            <w:r>
              <w:rPr>
                <w:rFonts w:hint="eastAsia" w:ascii="仿宋" w:hAnsi="仿宋" w:eastAsia="仿宋" w:cs="仿宋"/>
                <w:bCs/>
                <w:sz w:val="18"/>
                <w:szCs w:val="18"/>
              </w:rPr>
              <w:t>高山地</w:t>
            </w:r>
          </w:p>
        </w:tc>
        <w:tc>
          <w:tcPr>
            <w:tcW w:w="2449" w:type="dxa"/>
            <w:tcBorders>
              <w:top w:val="single" w:color="auto" w:sz="4" w:space="0"/>
              <w:left w:val="single" w:color="auto" w:sz="4" w:space="0"/>
              <w:bottom w:val="single" w:color="auto" w:sz="4" w:space="0"/>
              <w:right w:val="single" w:color="auto" w:sz="4" w:space="0"/>
            </w:tcBorders>
            <w:vAlign w:val="center"/>
          </w:tcPr>
          <w:p w14:paraId="5E3B6FC4">
            <w:pPr>
              <w:snapToGrid w:val="0"/>
              <w:jc w:val="center"/>
              <w:rPr>
                <w:rFonts w:hint="eastAsia" w:ascii="仿宋" w:hAnsi="仿宋" w:eastAsia="仿宋" w:cs="仿宋"/>
                <w:bCs/>
                <w:sz w:val="18"/>
                <w:szCs w:val="18"/>
              </w:rPr>
            </w:pPr>
            <w:r>
              <w:rPr>
                <w:rFonts w:hint="eastAsia" w:ascii="仿宋" w:hAnsi="仿宋" w:eastAsia="仿宋" w:cs="仿宋"/>
                <w:bCs/>
                <w:sz w:val="18"/>
                <w:szCs w:val="18"/>
              </w:rPr>
              <w:t>7.5</w:t>
            </w:r>
          </w:p>
        </w:tc>
        <w:tc>
          <w:tcPr>
            <w:tcW w:w="2072" w:type="dxa"/>
            <w:tcBorders>
              <w:top w:val="single" w:color="auto" w:sz="4" w:space="0"/>
              <w:left w:val="single" w:color="auto" w:sz="4" w:space="0"/>
              <w:bottom w:val="single" w:color="auto" w:sz="4" w:space="0"/>
              <w:right w:val="single" w:color="auto" w:sz="4" w:space="0"/>
            </w:tcBorders>
            <w:vAlign w:val="center"/>
          </w:tcPr>
          <w:p w14:paraId="293BA1EC">
            <w:pPr>
              <w:snapToGrid w:val="0"/>
              <w:jc w:val="center"/>
              <w:rPr>
                <w:rFonts w:hint="eastAsia" w:ascii="仿宋" w:hAnsi="仿宋" w:eastAsia="仿宋" w:cs="仿宋"/>
                <w:bCs/>
                <w:sz w:val="18"/>
                <w:szCs w:val="18"/>
              </w:rPr>
            </w:pPr>
            <w:r>
              <w:rPr>
                <w:rFonts w:hint="eastAsia" w:ascii="仿宋" w:hAnsi="仿宋" w:eastAsia="仿宋" w:cs="仿宋"/>
                <w:bCs/>
                <w:sz w:val="18"/>
                <w:szCs w:val="18"/>
              </w:rPr>
              <w:t>4.0</w:t>
            </w:r>
          </w:p>
        </w:tc>
        <w:tc>
          <w:tcPr>
            <w:tcW w:w="2305" w:type="dxa"/>
            <w:tcBorders>
              <w:top w:val="single" w:color="auto" w:sz="4" w:space="0"/>
              <w:left w:val="single" w:color="auto" w:sz="4" w:space="0"/>
              <w:bottom w:val="single" w:color="auto" w:sz="4" w:space="0"/>
              <w:right w:val="single" w:color="auto" w:sz="4" w:space="0"/>
            </w:tcBorders>
            <w:vAlign w:val="center"/>
          </w:tcPr>
          <w:p w14:paraId="6FBFADE7">
            <w:pPr>
              <w:snapToGrid w:val="0"/>
              <w:jc w:val="center"/>
              <w:rPr>
                <w:rFonts w:hint="eastAsia" w:ascii="仿宋" w:hAnsi="仿宋" w:eastAsia="仿宋" w:cs="仿宋"/>
                <w:bCs/>
                <w:sz w:val="18"/>
                <w:szCs w:val="18"/>
              </w:rPr>
            </w:pPr>
            <w:r>
              <w:rPr>
                <w:rFonts w:hint="eastAsia" w:ascii="仿宋" w:hAnsi="仿宋" w:eastAsia="仿宋" w:cs="仿宋"/>
                <w:bCs/>
                <w:sz w:val="18"/>
                <w:szCs w:val="18"/>
              </w:rPr>
              <w:t>6.0</w:t>
            </w:r>
          </w:p>
          <w:p w14:paraId="277F6896">
            <w:pPr>
              <w:snapToGrid w:val="0"/>
              <w:jc w:val="center"/>
              <w:rPr>
                <w:rFonts w:hint="eastAsia" w:ascii="仿宋" w:hAnsi="仿宋" w:eastAsia="仿宋" w:cs="仿宋"/>
                <w:bCs/>
                <w:sz w:val="18"/>
                <w:szCs w:val="18"/>
              </w:rPr>
            </w:pPr>
            <w:r>
              <w:rPr>
                <w:rFonts w:hint="eastAsia" w:ascii="仿宋" w:hAnsi="仿宋" w:eastAsia="仿宋" w:cs="仿宋"/>
                <w:bCs/>
                <w:sz w:val="18"/>
                <w:szCs w:val="18"/>
              </w:rPr>
              <w:t>（地形变换点）</w:t>
            </w:r>
          </w:p>
        </w:tc>
      </w:tr>
      <w:tr w14:paraId="41B96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jc w:val="center"/>
        </w:trPr>
        <w:tc>
          <w:tcPr>
            <w:tcW w:w="8522" w:type="dxa"/>
            <w:gridSpan w:val="4"/>
            <w:tcBorders>
              <w:top w:val="single" w:color="auto" w:sz="4" w:space="0"/>
              <w:left w:val="single" w:color="auto" w:sz="4" w:space="0"/>
              <w:bottom w:val="single" w:color="auto" w:sz="4" w:space="0"/>
              <w:right w:val="single" w:color="auto" w:sz="4" w:space="0"/>
            </w:tcBorders>
            <w:vAlign w:val="center"/>
          </w:tcPr>
          <w:p w14:paraId="5DA2984B">
            <w:pPr>
              <w:snapToGrid w:val="0"/>
              <w:jc w:val="left"/>
              <w:rPr>
                <w:rFonts w:ascii="Times New Roman" w:hAnsi="Times New Roman" w:eastAsia="仿宋_GB2312" w:cs="Times New Roman"/>
                <w:bCs/>
                <w:sz w:val="24"/>
              </w:rPr>
            </w:pPr>
            <w:r>
              <w:rPr>
                <w:rFonts w:hint="eastAsia" w:ascii="仿宋" w:hAnsi="仿宋" w:eastAsia="仿宋" w:cs="仿宋"/>
                <w:bCs/>
                <w:sz w:val="18"/>
                <w:szCs w:val="18"/>
              </w:rPr>
              <w:t>特殊困难地区（大面积的森林、沙漠、戈壁、沼泽等）地物点的平面位置中误差按上表相应地形类别放宽0.5倍，高程中误差相应放宽0.5倍，以两倍中误差为最大误差。</w:t>
            </w:r>
          </w:p>
        </w:tc>
      </w:tr>
    </w:tbl>
    <w:p w14:paraId="011B22A1">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③数据格式</w:t>
      </w:r>
    </w:p>
    <w:p w14:paraId="090C243A">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矢量地形要素数据及元数据均以ArcGIS的File Geodatabase（gdb）格式存储。</w:t>
      </w:r>
    </w:p>
    <w:p w14:paraId="31D67F38">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④数据现势性</w:t>
      </w:r>
    </w:p>
    <w:p w14:paraId="0CDB4487">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更新要素的现势性达到项目生产当年。</w:t>
      </w:r>
    </w:p>
    <w:p w14:paraId="52E09B36">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⑤数据接边</w:t>
      </w:r>
    </w:p>
    <w:p w14:paraId="0DAF569A">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接边精度：同精度生产单元要素接边，平面位置的接边较差和高程接边较差分别不大于平面位置中误差和高程中误差的2倍，个别不大于2.5倍。当满足接边精度后再进行接边处理；不同精度生产单元要素接边，平面位置的接边较差和高程接边较差分别不大于相应平面位置中误差之和、高程中误差之和，个别不大于其和的1.25倍，然后按中误差的比例配赋接边。</w:t>
      </w:r>
    </w:p>
    <w:p w14:paraId="1A9A0400">
      <w:pPr>
        <w:adjustRightInd w:val="0"/>
        <w:snapToGrid w:val="0"/>
        <w:spacing w:line="360" w:lineRule="auto"/>
        <w:ind w:firstLine="400" w:firstLineChars="200"/>
        <w:rPr>
          <w:rFonts w:hint="eastAsia" w:ascii="仿宋" w:hAnsi="仿宋" w:eastAsia="仿宋" w:cs="仿宋"/>
          <w:sz w:val="20"/>
          <w:szCs w:val="20"/>
        </w:rPr>
      </w:pPr>
      <w:bookmarkStart w:id="0" w:name="OLE_LINK9"/>
      <w:r>
        <w:rPr>
          <w:rFonts w:hint="eastAsia" w:ascii="仿宋" w:hAnsi="仿宋" w:eastAsia="仿宋" w:cs="仿宋"/>
          <w:sz w:val="20"/>
          <w:szCs w:val="20"/>
        </w:rPr>
        <w:t>⑥质量要求</w:t>
      </w:r>
    </w:p>
    <w:p w14:paraId="2198345E">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本产品成果质量检查与评定严格遵照GB/T 18316-2008《数字测绘成果质量检查与验收》及本项目相关技术规定执行，全面依据对应产品规格标准、行业规范、技术设计书等项目技术文件开展质量核查。质量管理严格落实“两级检查、一级验收”制度，全过程把控成果精度与质量，确保输出成果合规可靠、满足入库与业务应用要求</w:t>
      </w:r>
      <w:bookmarkEnd w:id="0"/>
      <w:r>
        <w:rPr>
          <w:rFonts w:hint="eastAsia" w:ascii="仿宋" w:hAnsi="仿宋" w:eastAsia="仿宋" w:cs="仿宋"/>
          <w:sz w:val="20"/>
          <w:szCs w:val="20"/>
        </w:rPr>
        <w:t>。</w:t>
      </w:r>
    </w:p>
    <w:p w14:paraId="671DAEBF">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⑦成果要求</w:t>
      </w:r>
    </w:p>
    <w:p w14:paraId="78C5C2DB">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矢量地形要素数据更新成果，采用*.gdb格式；</w:t>
      </w:r>
    </w:p>
    <w:p w14:paraId="55D133DC">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元数据，采用*.gdb格式。</w:t>
      </w:r>
    </w:p>
    <w:p w14:paraId="55BF52C4">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2）陕西省地质灾害区基础测绘数据库管理系统构建</w:t>
      </w:r>
    </w:p>
    <w:p w14:paraId="27D70CDC">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建设陕西省地质灾害区基础测绘数据库管理系统，实现地图工程管理、可视化渲染、矢量要素分级管控、系统级数据灾备恢复等功能。</w:t>
      </w:r>
    </w:p>
    <w:p w14:paraId="00151DBB">
      <w:pPr>
        <w:widowControl w:val="0"/>
        <w:numPr>
          <w:ilvl w:val="0"/>
          <w:numId w:val="1"/>
        </w:numPr>
        <w:adjustRightInd w:val="0"/>
        <w:snapToGrid w:val="0"/>
        <w:spacing w:line="360" w:lineRule="auto"/>
        <w:ind w:left="760" w:hanging="360" w:firstLineChars="0"/>
        <w:jc w:val="both"/>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系统架构要求</w:t>
      </w:r>
    </w:p>
    <w:p w14:paraId="45223F30">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系统底层采用PostgreSQL+PostGIS架构，适配项目“本底+增量”一体化数据库，支撑全域基期1:10000DLG数据预处理、分带拼接、标准化入库，实现管线、境界与政区、地名三类核心地形要素新增、修改、删除动态融合更新。</w:t>
      </w:r>
    </w:p>
    <w:p w14:paraId="4DDEED61">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系统数学基础与本项目地形要素数据保持一致，采用2000国家大地坐标系、1985国家高程基准。</w:t>
      </w:r>
    </w:p>
    <w:p w14:paraId="7C457AA6">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②核心功能要求</w:t>
      </w:r>
    </w:p>
    <w:p w14:paraId="107F3F66">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地图可视化：实现矢量图层加载、图层分组管理、地图浏览缩放、量算、定位；支持管线、境界与政区、地名要素图层显示控制。</w:t>
      </w:r>
    </w:p>
    <w:p w14:paraId="7CAFE0BA">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地图编辑：支持管线、境界与政区、地名要素编辑处理，适配综合判调法内业更新作业，支持要素属性录入、修改。</w:t>
      </w:r>
    </w:p>
    <w:p w14:paraId="024D3403">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矢量数据管理</w:t>
      </w:r>
      <w:r>
        <w:rPr>
          <w:rFonts w:hint="eastAsia" w:ascii="仿宋" w:hAnsi="仿宋" w:eastAsia="仿宋" w:cs="仿宋"/>
          <w:sz w:val="20"/>
          <w:szCs w:val="20"/>
        </w:rPr>
        <w:t>：实现矢量数据入库、存储、组织管理；支持基期数据、增量数据分类管理，兼容gdb格式成果导入解析。</w:t>
      </w:r>
    </w:p>
    <w:p w14:paraId="66D1150E">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数据查询</w:t>
      </w:r>
      <w:r>
        <w:rPr>
          <w:rFonts w:hint="eastAsia" w:ascii="仿宋" w:hAnsi="仿宋" w:eastAsia="仿宋" w:cs="仿宋"/>
          <w:sz w:val="20"/>
          <w:szCs w:val="20"/>
        </w:rPr>
        <w:t>：支持空间查询、属性条件查询。</w:t>
      </w:r>
    </w:p>
    <w:p w14:paraId="7E219C3E">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数据备份</w:t>
      </w:r>
      <w:r>
        <w:rPr>
          <w:rFonts w:hint="eastAsia" w:ascii="仿宋" w:hAnsi="仿宋" w:eastAsia="仿宋" w:cs="仿宋"/>
          <w:sz w:val="20"/>
          <w:szCs w:val="20"/>
        </w:rPr>
        <w:t>：具备数据库备份管理能力。</w:t>
      </w:r>
    </w:p>
    <w:p w14:paraId="6A73E56A">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增量融合</w:t>
      </w:r>
      <w:r>
        <w:rPr>
          <w:rFonts w:hint="eastAsia" w:ascii="仿宋" w:hAnsi="仿宋" w:eastAsia="仿宋" w:cs="仿宋"/>
          <w:sz w:val="20"/>
          <w:szCs w:val="20"/>
        </w:rPr>
        <w:t>：实现基期数据与增量更新数据自动融合入库，完成要素新增、修改、删除动态更新。</w:t>
      </w:r>
    </w:p>
    <w:p w14:paraId="7B350D1D">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系统运维</w:t>
      </w:r>
      <w:r>
        <w:rPr>
          <w:rFonts w:hint="eastAsia" w:ascii="仿宋" w:hAnsi="仿宋" w:eastAsia="仿宋" w:cs="仿宋"/>
          <w:sz w:val="20"/>
          <w:szCs w:val="20"/>
        </w:rPr>
        <w:t>：包含用户权限管理、系统参数配置、系统运行状态监控，保障系统稳定可靠运行。</w:t>
      </w:r>
    </w:p>
    <w:p w14:paraId="3D450A2C">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3）陕西省地质灾害区基础测绘数据库建设</w:t>
      </w:r>
    </w:p>
    <w:p w14:paraId="1CA3FE8C">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以2025版1:10000地形要素数据为本底，完成全域管线、境界与政区、地名三类核心地形要素入库，建成统一、现势、标准化的陕西省地质灾害区基础地理信息数据库。</w:t>
      </w:r>
    </w:p>
    <w:p w14:paraId="5A68FC0D">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①建库范围及基准</w:t>
      </w:r>
    </w:p>
    <w:p w14:paraId="089A6B99">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覆盖除咸阳市秦都区、西安市新城区、碑林区、莲湖区、未央区、阎良区外101个地质灾害重点区县，面积约20.47万平方千米；数学基准与本项目地形要素数据保持一致，执行2000国家大地坐标系、1985国家高程基准。</w:t>
      </w:r>
    </w:p>
    <w:p w14:paraId="271E7D23">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②数据库架构</w:t>
      </w:r>
    </w:p>
    <w:p w14:paraId="57B3762A">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构建“</w:t>
      </w:r>
      <w:r>
        <w:rPr>
          <w:rFonts w:hint="eastAsia" w:ascii="仿宋" w:hAnsi="仿宋" w:eastAsia="仿宋" w:cs="仿宋"/>
          <w:sz w:val="20"/>
          <w:szCs w:val="20"/>
        </w:rPr>
        <w:t>本底</w:t>
      </w:r>
      <w:r>
        <w:rPr>
          <w:rFonts w:ascii="仿宋" w:hAnsi="仿宋" w:eastAsia="仿宋" w:cs="仿宋"/>
          <w:sz w:val="20"/>
          <w:szCs w:val="20"/>
        </w:rPr>
        <w:t>+增量”一体化数据库，完成基期1:10000DLG预处理、分带拼接、标准化入库，适 PostgreSQL+PostGIS系统，矢量及元数据采用*.gdb格式存储，支持要素新增、修改、删除动态融合更新。</w:t>
      </w:r>
    </w:p>
    <w:p w14:paraId="1AC909EB">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③数据入库处理</w:t>
      </w:r>
    </w:p>
    <w:p w14:paraId="05562739">
      <w:pPr>
        <w:adjustRightInd w:val="0"/>
        <w:snapToGrid w:val="0"/>
        <w:spacing w:line="360" w:lineRule="auto"/>
        <w:ind w:firstLine="400" w:firstLineChars="200"/>
        <w:rPr>
          <w:rFonts w:hint="eastAsia" w:ascii="仿宋" w:hAnsi="仿宋" w:eastAsia="仿宋" w:cs="仿宋"/>
          <w:sz w:val="20"/>
          <w:szCs w:val="20"/>
        </w:rPr>
      </w:pPr>
      <w:r>
        <w:rPr>
          <w:rFonts w:ascii="仿宋" w:hAnsi="仿宋" w:eastAsia="仿宋" w:cs="仿宋"/>
          <w:sz w:val="20"/>
          <w:szCs w:val="20"/>
        </w:rPr>
        <w:t>对本底数据做清洗、拼接处理，结合多源专题资料完成三类核心要素入库，要素现势性达到项目生产当年，严格执行数据接边精度要求。</w:t>
      </w:r>
    </w:p>
    <w:p w14:paraId="552B6E47">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（2）服务标准</w:t>
      </w:r>
    </w:p>
    <w:p w14:paraId="7E3278F3">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项目实施及成果交付，须严格遵守国家、行业及地方现行法律法规与1:10000基础地理信息相关技术标准规范，同时严格落实数据保密管理要求。</w:t>
      </w:r>
    </w:p>
    <w:p w14:paraId="7156F657">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（3）服务期限</w:t>
      </w:r>
    </w:p>
    <w:p w14:paraId="30354F62">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合同签订之日起至2026年12月30日。</w:t>
      </w:r>
    </w:p>
    <w:p w14:paraId="08332C1C">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（4）服务人员数量及组成</w:t>
      </w:r>
    </w:p>
    <w:p w14:paraId="2E2FE8EB">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项目配备服务人员匹配项目实际工作需求</w:t>
      </w:r>
      <w:r>
        <w:rPr>
          <w:rFonts w:hint="default" w:ascii="仿宋" w:hAnsi="仿宋" w:eastAsia="仿宋" w:cs="仿宋"/>
          <w:sz w:val="20"/>
          <w:szCs w:val="20"/>
          <w:lang w:val="en-US"/>
        </w:rPr>
        <w:t>，配置不少于40人的服务团队</w:t>
      </w:r>
      <w:r>
        <w:rPr>
          <w:rFonts w:hint="eastAsia" w:ascii="仿宋" w:hAnsi="仿宋" w:eastAsia="仿宋" w:cs="仿宋"/>
          <w:sz w:val="20"/>
          <w:szCs w:val="20"/>
        </w:rPr>
        <w:t>，人员配置均衡合理、组织架构设置科学完善。</w:t>
      </w:r>
    </w:p>
    <w:p w14:paraId="7F07426E">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（5）其他要求</w:t>
      </w:r>
    </w:p>
    <w:p w14:paraId="548C659A">
      <w:pPr>
        <w:adjustRightInd w:val="0"/>
        <w:snapToGrid w:val="0"/>
        <w:spacing w:line="36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按照采购人具体要求执行。</w:t>
      </w:r>
    </w:p>
    <w:p w14:paraId="2922B7AA">
      <w:pPr>
        <w:adjustRightInd w:val="0"/>
        <w:snapToGrid w:val="0"/>
        <w:spacing w:line="360" w:lineRule="auto"/>
        <w:rPr>
          <w:rFonts w:hint="eastAsia" w:ascii="仿宋" w:hAnsi="仿宋" w:eastAsia="仿宋" w:cs="仿宋"/>
          <w:sz w:val="20"/>
          <w:szCs w:val="20"/>
        </w:rPr>
      </w:pPr>
      <w:r>
        <w:rPr>
          <w:rFonts w:hint="eastAsia" w:ascii="仿宋" w:hAnsi="仿宋" w:eastAsia="仿宋" w:cs="仿宋"/>
          <w:sz w:val="20"/>
          <w:szCs w:val="20"/>
        </w:rPr>
        <w:t>3、服务事项的验收（考核）标准</w:t>
      </w:r>
    </w:p>
    <w:p w14:paraId="25C076DB">
      <w:r>
        <w:rPr>
          <w:rFonts w:hint="eastAsia" w:ascii="仿宋" w:hAnsi="仿宋" w:eastAsia="仿宋" w:cs="仿宋"/>
          <w:sz w:val="20"/>
          <w:szCs w:val="20"/>
        </w:rPr>
        <w:t xml:space="preserve">依据采购方要求，符合本项目约定服务内容，并符合采购方最终成果的归档入库形式要求。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0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EnclosedCircle"/>
      <w:lvlText w:val="%1"/>
      <w:lvlJc w:val="left"/>
      <w:pPr>
        <w:ind w:left="760" w:hanging="360"/>
      </w:pPr>
      <w:rPr>
        <w:rFonts w:hint="default"/>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7A3A70"/>
    <w:rsid w:val="5EB73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样式1"/>
    <w:basedOn w:val="1"/>
    <w:next w:val="1"/>
    <w:uiPriority w:val="0"/>
    <w:pPr>
      <w:keepNext/>
      <w:keepLines/>
      <w:spacing w:before="260" w:beforeLines="0" w:after="260" w:afterLines="0" w:line="413" w:lineRule="auto"/>
      <w:jc w:val="center"/>
      <w:outlineLvl w:val="1"/>
    </w:pPr>
    <w:rPr>
      <w:rFonts w:ascii="Arial" w:hAnsi="Arial" w:eastAsia="黑体" w:cs="Arial"/>
      <w:b/>
      <w:snapToGrid w:val="0"/>
      <w:color w:val="000000"/>
      <w:kern w:val="0"/>
      <w:sz w:val="32"/>
      <w:szCs w:val="21"/>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2026-03-23T03:17:00Z</dcterms:created>
  <dc:creator>34819</dc:creator>
  <cp:lastModifiedBy>心静如水</cp:lastModifiedBy>
  <dcterms:modified xsi:type="dcterms:W3CDTF">2026-08-31T06:47:27Z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F7A16F4B812B4437B83386305F4CA7D6_12</vt:lpwstr>
  </property>
  <property fmtid="{D5CDD505-2E9C-101B-9397-08002B2CF9AE}" pid="4" name="KSOTemplateDocerSaveRecord">
    <vt:lpwstr>eyJoZGlkIjoiMjlmN2I3NTM2MGJhNTQ4Mjg5MGIyZTExN2VmNDgwMDMiLCJ1c2VySWQiOiIyMzkzNjg4MzcifQ==</vt:lpwstr>
  </property>
</Properties>
</file>