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版本号：ZZZC2026-035.1B120260706001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节能平台功能升级与开发(二次)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ZZZC2026-035.1B1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节能平台功能升级与开发(二次)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ZZZC2026-035.1B1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节能平台功能升级与开发(二次)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本项目为港务校区、自强校区节能平台各楼宇用水计量完善，内容包含智能水表采购、安装及设备调试，同步基于校园现有节能监管平台用水系统进行改造，完成两校区新增水表数据对接接入。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采购包1（节能平台功能升级与开发）：属于专门面向中小企业采购。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1、具有独立承担民事责任的能力：提供注册登记凭证（营业执照、事业单位法人证书、其他组织经营的合法凭证，自然人的提供身份证明文件）。</w:t>
      </w:r>
    </w:p>
    <w:p>
      <w:pPr>
        <w:pStyle w:val="null3"/>
      </w:pPr>
      <w:r>
        <w:rPr>
          <w:rFonts w:ascii="仿宋_GB2312" w:hAnsi="仿宋_GB2312" w:cs="仿宋_GB2312" w:eastAsia="仿宋_GB2312"/>
        </w:rPr>
        <w:t>2、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3、具有履行合同所必需的设备和专业技术能力：提供具有履行合同所必需的设备和专业技术能力书面声明文件。</w:t>
      </w:r>
    </w:p>
    <w:p>
      <w:pPr>
        <w:pStyle w:val="null3"/>
      </w:pPr>
      <w:r>
        <w:rPr>
          <w:rFonts w:ascii="仿宋_GB2312" w:hAnsi="仿宋_GB2312" w:cs="仿宋_GB2312" w:eastAsia="仿宋_GB2312"/>
        </w:rPr>
        <w:t>4、具有依法缴纳税收的良好记录：提供缴费所属日期为投标截止时间前六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具有依法缴纳社会保障资金的良好记录：提供缴费所属日期为投标截止时间前六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6、参加政府采购活动前3年内在经营活动中没有重大违法记录的书面声明：提供参加政府采购活动前3年内在经营活动中没有重大违法记录的书面声明。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陕西省西安市未央区北二环中段369号华帝金座A座903室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说明：(1) 若采购文件要求乙方提交履约保证金的，乙方应在签订合同前向甲方交纳合同价5%的履约保证金。 (2) 乙方无正当理由不与甲方订立合同，或签订合同时向甲方提出附加条件，或不按照采购文件要求提交履约保证金的，取消其成交资格。 (3) 项目验收合格后，乙方持《申请支付履约保证金的函》及完整申请资料到甲方办理退履约保证金手续，甲方30天内无息退还给乙方。 注：履约保证金转账信息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根据国家计委关于印发《代理服务收费管理暂行办法的通知》（计价格[2002]1980号）、《国家发展和改革委员会办公厅关于招标代理服务收费有关问题的通知》（发改办价格〔2003〕857号）以及《国家发展改革委关于降低部分建设项目收费标准规范收费行为等有关问题的通知》(发改价格〔2011〕534号)规定的标准下浮 20%计取。代理费账户信息：1.开户行名称：中招(陕西)项目管理有限公司 2.开 户 行：中国建设银行股份有限公司泾阳县中心街支行3.账 号：6105 0163 7355 0911 1111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中招(陕西)项目管理有限公司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本项目为港务校区、自强校区节能平台各楼宇用水计量完善，内容包含智能水表采购、安装及设备调试，同步基于校园现有节能监管平台用水系统进行改造，完成两校区新增水表数据对接接入。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节能平台功能升级与开发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标的名称：节能平台功能升级与开发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项目为港务校区、自强校区节能平台各楼宇用水计量完善，内容包含双声道超声波智能水表采购、安装及设备调试，同步基于校园现有节能监管平台用水系统进行改造，完成两校区新增水表数据对接接入。项目针对两校区各用水支路加装智能计量水表，补齐原有用水计量盲区，依托双声道超声波水表高精度计量优势，实现各用水点位瞬时流量、累计用水量的在线实时采集，所有用水数据统一归集至既有节能监管系统。通过平台模块升级，进一步提升校园用水数据统计、分析、告警及精细化管控能力，完善两校区分级用水台账，精准管控管网跑冒滴漏问题，为校园节水精细化管理、能耗数据统计、节能考核及能耗审计工作提供全面、准确、可靠的数据支撑。</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1.设备采购:采购不低于双声道超声波无线远传水表，用于港务、自强两个校区各用水路计量布点。</w:t>
            </w:r>
          </w:p>
          <w:p>
            <w:pPr>
              <w:pStyle w:val="null3"/>
            </w:pPr>
            <w:r>
              <w:rPr>
                <w:rFonts w:ascii="仿宋_GB2312" w:hAnsi="仿宋_GB2312" w:cs="仿宋_GB2312" w:eastAsia="仿宋_GB2312"/>
              </w:rPr>
              <w:t>2.数据对接：新增全部水表测点通讯对接，用水数据（包括但不限于：瞬时流量、累计水量）上传至现有有节能监管平台。</w:t>
            </w:r>
          </w:p>
          <w:p>
            <w:pPr>
              <w:pStyle w:val="null3"/>
            </w:pPr>
            <w:r>
              <w:rPr>
                <w:rFonts w:ascii="仿宋_GB2312" w:hAnsi="仿宋_GB2312" w:cs="仿宋_GB2312" w:eastAsia="仿宋_GB2312"/>
              </w:rPr>
              <w:t>3.平台软件优化升级：基于现有节能监管平台，按照技术要求新增升级部分功能模块。</w:t>
            </w:r>
          </w:p>
          <w:p>
            <w:pPr>
              <w:pStyle w:val="null3"/>
            </w:pPr>
            <w:r>
              <w:rPr>
                <w:rFonts w:ascii="仿宋_GB2312" w:hAnsi="仿宋_GB2312" w:cs="仿宋_GB2312" w:eastAsia="仿宋_GB2312"/>
              </w:rPr>
              <w:t>4.施工安装与调试:根据现场位置清单做水表安装固定、现场检定调试、数据模块通讯接线调试。</w:t>
            </w:r>
          </w:p>
          <w:tbl>
            <w:tblPr>
              <w:tblInd w:type="dxa" w:w="120"/>
              <w:tblBorders>
                <w:top w:val="none" w:color="000000" w:sz="4"/>
                <w:left w:val="none" w:color="000000" w:sz="4"/>
                <w:bottom w:val="none" w:color="000000" w:sz="4"/>
                <w:right w:val="none" w:color="000000" w:sz="4"/>
                <w:insideH w:val="none"/>
                <w:insideV w:val="none"/>
              </w:tblBorders>
            </w:tblPr>
            <w:tblGrid>
              <w:gridCol w:w="493"/>
              <w:gridCol w:w="473"/>
              <w:gridCol w:w="337"/>
              <w:gridCol w:w="1237"/>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安装位置</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水表</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阀门</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现场情况描述</w:t>
                  </w:r>
                </w:p>
              </w:tc>
            </w:tr>
            <w:tr>
              <w:tc>
                <w:tcPr>
                  <w:tcW w:type="dxa" w:w="25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自强校区</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办公楼西</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操作空间小</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实验楼</w:t>
                  </w:r>
                  <w:r>
                    <w:rPr>
                      <w:rFonts w:ascii="仿宋_GB2312" w:hAnsi="仿宋_GB2312" w:cs="仿宋_GB2312" w:eastAsia="仿宋_GB2312"/>
                      <w:sz w:val="19"/>
                    </w:rPr>
                    <w:t>1</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现有管子一直漏水</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实验楼</w:t>
                  </w:r>
                  <w:r>
                    <w:rPr>
                      <w:rFonts w:ascii="仿宋_GB2312" w:hAnsi="仿宋_GB2312" w:cs="仿宋_GB2312" w:eastAsia="仿宋_GB2312"/>
                      <w:sz w:val="19"/>
                    </w:rPr>
                    <w:t>2</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DN40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食堂</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井内有水和其他管线</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总务楼</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井内有水和其他管线</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食堂北</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井内有水，可能需要改管子，砌筑支墩</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教学楼</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DN80*2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DN80*2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井里漏水里面还有电缆其他管道，内部空间狭小</w:t>
                  </w:r>
                  <w:r>
                    <w:rPr>
                      <w:rFonts w:ascii="仿宋_GB2312" w:hAnsi="仿宋_GB2312" w:cs="仿宋_GB2312" w:eastAsia="仿宋_GB2312"/>
                      <w:sz w:val="19"/>
                    </w:rPr>
                    <w:t>.</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女子</w:t>
                  </w:r>
                  <w:r>
                    <w:rPr>
                      <w:rFonts w:ascii="仿宋_GB2312" w:hAnsi="仿宋_GB2312" w:cs="仿宋_GB2312" w:eastAsia="仿宋_GB2312"/>
                      <w:sz w:val="19"/>
                    </w:rPr>
                    <w:t>2号公寓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已有单向阀（已经老化）蝶阀</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1号公寓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需破除混凝土盖板，焊接法兰支模浇筑清理</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新建建筑物（东南角）</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DN65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DN65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操作空间小</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办公楼西侧</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水管距离侧墙较近</w:t>
                  </w:r>
                  <w:r>
                    <w:rPr>
                      <w:rFonts w:ascii="仿宋_GB2312" w:hAnsi="仿宋_GB2312" w:cs="仿宋_GB2312" w:eastAsia="仿宋_GB2312"/>
                      <w:sz w:val="19"/>
                    </w:rPr>
                    <w:t>,目测距离一公分</w:t>
                  </w:r>
                </w:p>
              </w:tc>
            </w:tr>
            <w:tr>
              <w:tc>
                <w:tcPr>
                  <w:tcW w:type="dxa" w:w="25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港务校区</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DN100*3、DN80、DN50</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现场只有水管，需要切割管道增加水表</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绿化</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DN65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在井里现有管道轴线偏折，法兰错位</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浴室</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DN150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操作空间小，里面管道较多</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锅炉房</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DN150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操作空间小，里面管道较多</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1公寓南公厕</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DN80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4公寓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DN80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5号公寓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6号公寓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DN100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绿化阀门井</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DN65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DN65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可能需破除井壁，重新砌筑浇筑井圈</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融合大楼</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DN150*2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实训楼</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DN80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管道被装修包裹在柱子里，需要切割管子加水表，安装后需要恢复装修</w:t>
                  </w:r>
                </w:p>
              </w:tc>
            </w:tr>
          </w:tbl>
          <w:p>
            <w:pPr>
              <w:pStyle w:val="null3"/>
            </w:pPr>
            <w:r>
              <w:rPr>
                <w:rFonts w:ascii="仿宋_GB2312" w:hAnsi="仿宋_GB2312" w:cs="仿宋_GB2312" w:eastAsia="仿宋_GB2312"/>
              </w:rPr>
              <w:t>（上述清单除乘以相应数量的货物外，其余的数量均为</w:t>
            </w:r>
            <w:r>
              <w:rPr>
                <w:rFonts w:ascii="仿宋_GB2312" w:hAnsi="仿宋_GB2312" w:cs="仿宋_GB2312" w:eastAsia="仿宋_GB2312"/>
              </w:rPr>
              <w:t>“1”，）</w:t>
            </w:r>
          </w:p>
          <w:p>
            <w:pPr>
              <w:pStyle w:val="null3"/>
            </w:pPr>
            <w:r>
              <w:rPr>
                <w:rFonts w:ascii="仿宋_GB2312" w:hAnsi="仿宋_GB2312" w:cs="仿宋_GB2312" w:eastAsia="仿宋_GB2312"/>
              </w:rPr>
              <w:t>三、技术要求（如有，一般适合于技术服务项目）</w:t>
            </w:r>
          </w:p>
          <w:p>
            <w:pPr>
              <w:pStyle w:val="null3"/>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对接需求：超声波智能水表无缝接入现有节能监管平台，要求数据实时采集，统计分析正常，供应商需自行与平台厂家沟通并评估对接过程可能产生的费用。</w:t>
            </w:r>
            <w:r>
              <w:rPr>
                <w:rFonts w:ascii="仿宋_GB2312" w:hAnsi="仿宋_GB2312" w:cs="仿宋_GB2312" w:eastAsia="仿宋_GB2312"/>
                <w:b/>
              </w:rPr>
              <w:t>（提供对接方案承诺函）</w:t>
            </w:r>
          </w:p>
          <w:p>
            <w:pPr>
              <w:pStyle w:val="null3"/>
            </w:pPr>
            <w:r>
              <w:rPr>
                <w:rFonts w:ascii="仿宋_GB2312" w:hAnsi="仿宋_GB2312" w:cs="仿宋_GB2312" w:eastAsia="仿宋_GB2312"/>
              </w:rPr>
              <w:t>（二）系统升级需求</w:t>
            </w:r>
          </w:p>
          <w:p>
            <w:pPr>
              <w:pStyle w:val="null3"/>
            </w:pPr>
            <w:r>
              <w:rPr>
                <w:rFonts w:ascii="仿宋_GB2312" w:hAnsi="仿宋_GB2312" w:cs="仿宋_GB2312" w:eastAsia="仿宋_GB2312"/>
              </w:rPr>
              <w:t>用能流向：增加用能流向功能，按照校园拓扑结构，采用桑基图形式，支持多级查询能源流向情况。</w:t>
            </w:r>
          </w:p>
          <w:p>
            <w:pPr>
              <w:pStyle w:val="null3"/>
            </w:pPr>
            <w:r>
              <w:rPr>
                <w:rFonts w:ascii="仿宋_GB2312" w:hAnsi="仿宋_GB2312" w:cs="仿宋_GB2312" w:eastAsia="仿宋_GB2312"/>
              </w:rPr>
              <w:t>查询统计：新增</w:t>
            </w:r>
            <w:r>
              <w:rPr>
                <w:rFonts w:ascii="仿宋_GB2312" w:hAnsi="仿宋_GB2312" w:cs="仿宋_GB2312" w:eastAsia="仿宋_GB2312"/>
              </w:rPr>
              <w:t>“用能同比”分析，对比几年内同月用能对比情况，采用柱状图对比形式。</w:t>
            </w:r>
          </w:p>
          <w:p>
            <w:pPr>
              <w:pStyle w:val="null3"/>
            </w:pPr>
            <w:r>
              <w:rPr>
                <w:rFonts w:ascii="仿宋_GB2312" w:hAnsi="仿宋_GB2312" w:cs="仿宋_GB2312" w:eastAsia="仿宋_GB2312"/>
              </w:rPr>
              <w:t>查询统计：新增</w:t>
            </w:r>
            <w:r>
              <w:rPr>
                <w:rFonts w:ascii="仿宋_GB2312" w:hAnsi="仿宋_GB2312" w:cs="仿宋_GB2312" w:eastAsia="仿宋_GB2312"/>
              </w:rPr>
              <w:t>“用能行为”分析。显示时间与用量关系，采用散点图形式。</w:t>
            </w:r>
          </w:p>
          <w:p>
            <w:pPr>
              <w:pStyle w:val="null3"/>
              <w:spacing w:after="165"/>
              <w:jc w:val="left"/>
            </w:pPr>
            <w:r>
              <w:rPr>
                <w:rFonts w:ascii="仿宋_GB2312" w:hAnsi="仿宋_GB2312" w:cs="仿宋_GB2312" w:eastAsia="仿宋_GB2312"/>
                <w:sz w:val="24"/>
              </w:rPr>
              <w:t>★</w:t>
            </w:r>
            <w:r>
              <w:rPr>
                <w:rFonts w:ascii="仿宋_GB2312" w:hAnsi="仿宋_GB2312" w:cs="仿宋_GB2312" w:eastAsia="仿宋_GB2312"/>
                <w:sz w:val="20"/>
              </w:rPr>
              <w:t>数据看板</w:t>
            </w:r>
            <w:r>
              <w:rPr>
                <w:rFonts w:ascii="仿宋_GB2312" w:hAnsi="仿宋_GB2312" w:cs="仿宋_GB2312" w:eastAsia="仿宋_GB2312"/>
                <w:sz w:val="24"/>
              </w:rPr>
              <w:t>：</w:t>
            </w:r>
            <w:r>
              <w:rPr>
                <w:rFonts w:ascii="仿宋_GB2312" w:hAnsi="仿宋_GB2312" w:cs="仿宋_GB2312" w:eastAsia="仿宋_GB2312"/>
                <w:sz w:val="20"/>
              </w:rPr>
              <w:t>分校区，看板支持校区数据切换，按需查看总能耗数据和各校区能耗，接入的数据需要包括此次将安装的设备及校园内已安装的水表数据。</w:t>
            </w:r>
            <w:r>
              <w:rPr>
                <w:rFonts w:ascii="仿宋_GB2312" w:hAnsi="仿宋_GB2312" w:cs="仿宋_GB2312" w:eastAsia="仿宋_GB2312"/>
                <w:sz w:val="20"/>
                <w:b/>
              </w:rPr>
              <w:t>（提供不限于产品手册、官网参数截图、产品彩页、功能截图、第三方检测报告、承诺函）</w:t>
            </w:r>
          </w:p>
          <w:p>
            <w:pPr>
              <w:pStyle w:val="null3"/>
            </w:pPr>
            <w:r>
              <w:rPr>
                <w:rFonts w:ascii="仿宋_GB2312" w:hAnsi="仿宋_GB2312" w:cs="仿宋_GB2312" w:eastAsia="仿宋_GB2312"/>
              </w:rPr>
              <w:t>（三）水表需求</w:t>
            </w:r>
          </w:p>
          <w:p>
            <w:pPr>
              <w:pStyle w:val="null3"/>
            </w:pPr>
            <w:r>
              <w:rPr>
                <w:rFonts w:ascii="仿宋_GB2312" w:hAnsi="仿宋_GB2312" w:cs="仿宋_GB2312" w:eastAsia="仿宋_GB2312"/>
              </w:rPr>
              <w:t>1.水表要求：采用管道式超声波双声道远传智能水表，</w:t>
            </w:r>
            <w:r>
              <w:rPr>
                <w:rFonts w:ascii="仿宋_GB2312" w:hAnsi="仿宋_GB2312" w:cs="仿宋_GB2312" w:eastAsia="仿宋_GB2312"/>
              </w:rPr>
              <w:t>适配校园日常常压用水工况，保障数据精准可靠</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计量精度：符合二级水表精度要求，计量误差</w:t>
            </w:r>
            <w:r>
              <w:rPr>
                <w:rFonts w:ascii="仿宋_GB2312" w:hAnsi="仿宋_GB2312" w:cs="仿宋_GB2312" w:eastAsia="仿宋_GB2312"/>
              </w:rPr>
              <w:t>≤±2%；</w:t>
            </w:r>
            <w:r>
              <w:rPr>
                <w:rFonts w:ascii="仿宋_GB2312" w:hAnsi="仿宋_GB2312" w:cs="仿宋_GB2312" w:eastAsia="仿宋_GB2312"/>
                <w:b/>
              </w:rPr>
              <w:t>（</w:t>
            </w:r>
            <w:r>
              <w:rPr>
                <w:rFonts w:ascii="仿宋_GB2312" w:hAnsi="仿宋_GB2312" w:cs="仿宋_GB2312" w:eastAsia="仿宋_GB2312"/>
                <w:b/>
              </w:rPr>
              <w:t>提供不限于产品手册、官网参数截图、产品彩页、功能截图、第三方检测报告</w:t>
            </w:r>
            <w:r>
              <w:rPr>
                <w:rFonts w:ascii="仿宋_GB2312" w:hAnsi="仿宋_GB2312" w:cs="仿宋_GB2312" w:eastAsia="仿宋_GB2312"/>
                <w:b/>
              </w:rPr>
              <w:t>）</w:t>
            </w:r>
          </w:p>
          <w:p>
            <w:pPr>
              <w:pStyle w:val="null3"/>
            </w:pPr>
            <w:r>
              <w:rPr>
                <w:rFonts w:ascii="仿宋_GB2312" w:hAnsi="仿宋_GB2312" w:cs="仿宋_GB2312" w:eastAsia="仿宋_GB2312"/>
              </w:rPr>
              <w:t>3.</w:t>
            </w:r>
            <w:r>
              <w:rPr>
                <w:rFonts w:ascii="仿宋_GB2312" w:hAnsi="仿宋_GB2312" w:cs="仿宋_GB2312" w:eastAsia="仿宋_GB2312"/>
              </w:rPr>
              <w:t>传输模式：支持</w:t>
            </w:r>
            <w:r>
              <w:rPr>
                <w:rFonts w:ascii="仿宋_GB2312" w:hAnsi="仿宋_GB2312" w:cs="仿宋_GB2312" w:eastAsia="仿宋_GB2312"/>
              </w:rPr>
              <w:t>RS485、</w:t>
            </w:r>
            <w:r>
              <w:rPr>
                <w:rFonts w:ascii="仿宋_GB2312" w:hAnsi="仿宋_GB2312" w:cs="仿宋_GB2312" w:eastAsia="仿宋_GB2312"/>
              </w:rPr>
              <w:t>4G</w:t>
            </w:r>
            <w:r>
              <w:rPr>
                <w:rFonts w:ascii="仿宋_GB2312" w:hAnsi="仿宋_GB2312" w:cs="仿宋_GB2312" w:eastAsia="仿宋_GB2312"/>
              </w:rPr>
              <w:t>双模式无线远传，低功耗、信号稳定，适配校园楼宇密集</w:t>
            </w:r>
            <w:r>
              <w:rPr>
                <w:rFonts w:ascii="仿宋_GB2312" w:hAnsi="仿宋_GB2312" w:cs="仿宋_GB2312" w:eastAsia="仿宋_GB2312"/>
              </w:rPr>
              <w:t>或者室外布线成本高及不方便等</w:t>
            </w:r>
            <w:r>
              <w:rPr>
                <w:rFonts w:ascii="仿宋_GB2312" w:hAnsi="仿宋_GB2312" w:cs="仿宋_GB2312" w:eastAsia="仿宋_GB2312"/>
              </w:rPr>
              <w:t>场景；</w:t>
            </w:r>
          </w:p>
          <w:p>
            <w:pPr>
              <w:pStyle w:val="null3"/>
            </w:pPr>
            <w:r>
              <w:rPr>
                <w:rFonts w:ascii="仿宋_GB2312" w:hAnsi="仿宋_GB2312" w:cs="仿宋_GB2312" w:eastAsia="仿宋_GB2312"/>
              </w:rPr>
              <w:t>4.功能</w:t>
            </w:r>
            <w:r>
              <w:rPr>
                <w:rFonts w:ascii="仿宋_GB2312" w:hAnsi="仿宋_GB2312" w:cs="仿宋_GB2312" w:eastAsia="仿宋_GB2312"/>
              </w:rPr>
              <w:t>参数：可显示流量计工作状态、累积流量、瞬时流量、信号输出状态。用户能在</w:t>
            </w:r>
            <w:r>
              <w:rPr>
                <w:rFonts w:ascii="仿宋_GB2312" w:hAnsi="仿宋_GB2312" w:cs="仿宋_GB2312" w:eastAsia="仿宋_GB2312"/>
              </w:rPr>
              <w:t>通过现场设备查看</w:t>
            </w:r>
            <w:r>
              <w:rPr>
                <w:rFonts w:ascii="仿宋_GB2312" w:hAnsi="仿宋_GB2312" w:cs="仿宋_GB2312" w:eastAsia="仿宋_GB2312"/>
              </w:rPr>
              <w:t>累计值和瞬时值</w:t>
            </w:r>
            <w:r>
              <w:rPr>
                <w:rFonts w:ascii="仿宋_GB2312" w:hAnsi="仿宋_GB2312" w:cs="仿宋_GB2312" w:eastAsia="仿宋_GB2312"/>
              </w:rPr>
              <w:t>，</w:t>
            </w:r>
            <w:r>
              <w:rPr>
                <w:rFonts w:ascii="仿宋_GB2312" w:hAnsi="仿宋_GB2312" w:cs="仿宋_GB2312" w:eastAsia="仿宋_GB2312"/>
              </w:rPr>
              <w:t>并能</w:t>
            </w:r>
            <w:r>
              <w:rPr>
                <w:rFonts w:ascii="仿宋_GB2312" w:hAnsi="仿宋_GB2312" w:cs="仿宋_GB2312" w:eastAsia="仿宋_GB2312"/>
              </w:rPr>
              <w:t>设置参数及查看历史数据；</w:t>
            </w:r>
          </w:p>
          <w:p>
            <w:pPr>
              <w:pStyle w:val="null3"/>
            </w:pPr>
            <w:r>
              <w:rPr>
                <w:rFonts w:ascii="仿宋_GB2312" w:hAnsi="仿宋_GB2312" w:cs="仿宋_GB2312" w:eastAsia="仿宋_GB2312"/>
              </w:rPr>
              <w:t>★</w:t>
            </w:r>
            <w:r>
              <w:rPr>
                <w:rFonts w:ascii="仿宋_GB2312" w:hAnsi="仿宋_GB2312" w:cs="仿宋_GB2312" w:eastAsia="仿宋_GB2312"/>
              </w:rPr>
              <w:t>5.水表无线模块需包含流量资讯费5年，采购人不再另行付费。</w:t>
            </w:r>
            <w:r>
              <w:rPr>
                <w:rFonts w:ascii="仿宋_GB2312" w:hAnsi="仿宋_GB2312" w:cs="仿宋_GB2312" w:eastAsia="仿宋_GB2312"/>
                <w:b/>
              </w:rPr>
              <w:t>（</w:t>
            </w:r>
            <w:r>
              <w:rPr>
                <w:rFonts w:ascii="仿宋_GB2312" w:hAnsi="仿宋_GB2312" w:cs="仿宋_GB2312" w:eastAsia="仿宋_GB2312"/>
                <w:b/>
              </w:rPr>
              <w:t>提供不限于产品手册、官网参数截图、产品彩页、功能截图、第三方检测报告、承诺函</w:t>
            </w:r>
            <w:r>
              <w:rPr>
                <w:rFonts w:ascii="仿宋_GB2312" w:hAnsi="仿宋_GB2312" w:cs="仿宋_GB2312" w:eastAsia="仿宋_GB2312"/>
                <w:b/>
              </w:rPr>
              <w:t>）</w:t>
            </w:r>
          </w:p>
          <w:p>
            <w:pPr>
              <w:pStyle w:val="null3"/>
            </w:pPr>
            <w:r>
              <w:rPr>
                <w:rFonts w:ascii="仿宋_GB2312" w:hAnsi="仿宋_GB2312" w:cs="仿宋_GB2312" w:eastAsia="仿宋_GB2312"/>
              </w:rPr>
              <w:t>6.</w:t>
            </w:r>
            <w:r>
              <w:rPr>
                <w:rFonts w:ascii="仿宋_GB2312" w:hAnsi="仿宋_GB2312" w:cs="仿宋_GB2312" w:eastAsia="仿宋_GB2312"/>
              </w:rPr>
              <w:t>功能配置：具备实时数据采集、定时上传、断网续传、数据存储、防篡改、流量异常记录功能，可精准记录每小时、每日用水量；</w:t>
            </w:r>
          </w:p>
          <w:p>
            <w:pPr>
              <w:pStyle w:val="null3"/>
            </w:pPr>
            <w:r>
              <w:rPr>
                <w:rFonts w:ascii="仿宋_GB2312" w:hAnsi="仿宋_GB2312" w:cs="仿宋_GB2312" w:eastAsia="仿宋_GB2312"/>
              </w:rPr>
              <w:t>★</w:t>
            </w:r>
            <w:r>
              <w:rPr>
                <w:rFonts w:ascii="仿宋_GB2312" w:hAnsi="仿宋_GB2312" w:cs="仿宋_GB2312" w:eastAsia="仿宋_GB2312"/>
              </w:rPr>
              <w:t>7.防护等级</w:t>
            </w: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IP68防护等级，</w:t>
            </w:r>
            <w:r>
              <w:rPr>
                <w:rFonts w:ascii="仿宋_GB2312" w:hAnsi="仿宋_GB2312" w:cs="仿宋_GB2312" w:eastAsia="仿宋_GB2312"/>
              </w:rPr>
              <w:t>机芯防护满足水下井室长期使用，井内浸水工况可稳定运行</w:t>
            </w:r>
            <w:r>
              <w:rPr>
                <w:rFonts w:ascii="仿宋_GB2312" w:hAnsi="仿宋_GB2312" w:cs="仿宋_GB2312" w:eastAsia="仿宋_GB2312"/>
              </w:rPr>
              <w:t>。</w:t>
            </w:r>
            <w:r>
              <w:rPr>
                <w:rFonts w:ascii="仿宋_GB2312" w:hAnsi="仿宋_GB2312" w:cs="仿宋_GB2312" w:eastAsia="仿宋_GB2312"/>
                <w:b/>
              </w:rPr>
              <w:t>（</w:t>
            </w:r>
            <w:r>
              <w:rPr>
                <w:rFonts w:ascii="仿宋_GB2312" w:hAnsi="仿宋_GB2312" w:cs="仿宋_GB2312" w:eastAsia="仿宋_GB2312"/>
                <w:b/>
              </w:rPr>
              <w:t>提供不限于产品手册、官网参数截图、产品彩页、功能截图、第三方检测报告</w:t>
            </w:r>
            <w:r>
              <w:rPr>
                <w:rFonts w:ascii="仿宋_GB2312" w:hAnsi="仿宋_GB2312" w:cs="仿宋_GB2312" w:eastAsia="仿宋_GB2312"/>
                <w:b/>
              </w:rPr>
              <w:t>）</w:t>
            </w:r>
          </w:p>
          <w:p>
            <w:pPr>
              <w:pStyle w:val="null3"/>
              <w:numPr>
                <w:ilvl w:val="0"/>
                <w:numId w:val="1"/>
              </w:numPr>
            </w:pPr>
            <w:r>
              <w:rPr>
                <w:rFonts w:ascii="仿宋_GB2312" w:hAnsi="仿宋_GB2312" w:cs="仿宋_GB2312" w:eastAsia="仿宋_GB2312"/>
              </w:rPr>
              <w:t>数据对接至校园节能监管平台，保障设备数据符合平台数据对接需求并能够正常显示。</w:t>
            </w:r>
          </w:p>
          <w:p>
            <w:pPr>
              <w:pStyle w:val="null3"/>
              <w:numPr>
                <w:ilvl w:val="0"/>
                <w:numId w:val="1"/>
              </w:numPr>
            </w:pPr>
            <w:r>
              <w:rPr>
                <w:rFonts w:ascii="仿宋_GB2312" w:hAnsi="仿宋_GB2312" w:cs="仿宋_GB2312" w:eastAsia="仿宋_GB2312"/>
              </w:rPr>
              <w:t>水表安装须符合现行规范相关要求，确保计量精度；安装辅材（阀门、接头、管材、线缆等）均需符合国家质量标准，防腐耐用；施工完成后对井室、墙面、地面等施工区域恢复原貌，做到工完场清。</w:t>
            </w:r>
          </w:p>
          <w:p>
            <w:pPr>
              <w:pStyle w:val="null3"/>
            </w:pPr>
            <w:r>
              <w:rPr>
                <w:rFonts w:ascii="仿宋_GB2312" w:hAnsi="仿宋_GB2312" w:cs="仿宋_GB2312" w:eastAsia="仿宋_GB2312"/>
              </w:rPr>
              <w:t>四、服务要求（如对人员配置、专业设备、服务标准等）</w:t>
            </w:r>
          </w:p>
          <w:p>
            <w:pPr>
              <w:pStyle w:val="null3"/>
            </w:pPr>
            <w:r>
              <w:rPr>
                <w:rFonts w:ascii="仿宋_GB2312" w:hAnsi="仿宋_GB2312" w:cs="仿宋_GB2312" w:eastAsia="仿宋_GB2312"/>
              </w:rPr>
              <w:t>1. 超声波智能水表无缝接入现有节能监管平台，要求数据实时采集，统计分析正常，供应商需自行与平台厂家沟通并评估对接过程可能产生的费用。</w:t>
            </w:r>
          </w:p>
          <w:p>
            <w:pPr>
              <w:pStyle w:val="null3"/>
            </w:pPr>
            <w:r>
              <w:rPr>
                <w:rFonts w:ascii="仿宋_GB2312" w:hAnsi="仿宋_GB2312" w:cs="仿宋_GB2312" w:eastAsia="仿宋_GB2312"/>
              </w:rPr>
              <w:t>★</w:t>
            </w:r>
            <w:r>
              <w:rPr>
                <w:rFonts w:ascii="仿宋_GB2312" w:hAnsi="仿宋_GB2312" w:cs="仿宋_GB2312" w:eastAsia="仿宋_GB2312"/>
              </w:rPr>
              <w:t>2. 前置演示1：供应商需承诺，在设备安装调试完成后，需要最终在平台内能够查询对应设备相关用水数据，若无法提供系统内数据正常展示，甲方有权按照合同违约条款追责直至解除合同，造成甲方损失的还应赔偿损失，不免除投标人其他法律责任。</w:t>
            </w:r>
            <w:r>
              <w:rPr>
                <w:rFonts w:ascii="仿宋_GB2312" w:hAnsi="仿宋_GB2312" w:cs="仿宋_GB2312" w:eastAsia="仿宋_GB2312"/>
                <w:b/>
              </w:rPr>
              <w:t>（提供履约承诺函）</w:t>
            </w:r>
          </w:p>
          <w:p>
            <w:pPr>
              <w:pStyle w:val="null3"/>
            </w:pPr>
            <w:r>
              <w:rPr>
                <w:rFonts w:ascii="仿宋_GB2312" w:hAnsi="仿宋_GB2312" w:cs="仿宋_GB2312" w:eastAsia="仿宋_GB2312"/>
              </w:rPr>
              <w:t>★</w:t>
            </w:r>
            <w:r>
              <w:rPr>
                <w:rFonts w:ascii="仿宋_GB2312" w:hAnsi="仿宋_GB2312" w:cs="仿宋_GB2312" w:eastAsia="仿宋_GB2312"/>
              </w:rPr>
              <w:t>3. 前置演示2：供应商需承诺，在中标方在收到中标通知书后（5个自然日内），按照功能升级要求对进行升级后功能逐条演示。若演示功能与投标文件不符或整改2次演示失败，甲方有权取消乙方中标/成交资格。</w:t>
            </w:r>
            <w:r>
              <w:rPr>
                <w:rFonts w:ascii="仿宋_GB2312" w:hAnsi="仿宋_GB2312" w:cs="仿宋_GB2312" w:eastAsia="仿宋_GB2312"/>
                <w:b/>
              </w:rPr>
              <w:t>（提供履约承诺函）</w:t>
            </w:r>
          </w:p>
          <w:p>
            <w:pPr>
              <w:pStyle w:val="null3"/>
            </w:pPr>
            <w:r>
              <w:rPr>
                <w:rFonts w:ascii="仿宋_GB2312" w:hAnsi="仿宋_GB2312" w:cs="仿宋_GB2312" w:eastAsia="仿宋_GB2312"/>
              </w:rPr>
              <w:t>五、商务要求（如服务期限、款项结算等）</w:t>
            </w:r>
          </w:p>
          <w:p>
            <w:pPr>
              <w:pStyle w:val="null3"/>
            </w:pPr>
            <w:r>
              <w:rPr>
                <w:rFonts w:ascii="仿宋_GB2312" w:hAnsi="仿宋_GB2312" w:cs="仿宋_GB2312" w:eastAsia="仿宋_GB2312"/>
              </w:rPr>
              <w:t>（一）</w:t>
            </w:r>
            <w:r>
              <w:rPr>
                <w:rFonts w:ascii="仿宋_GB2312" w:hAnsi="仿宋_GB2312" w:cs="仿宋_GB2312" w:eastAsia="仿宋_GB2312"/>
              </w:rPr>
              <w:t>项目期限</w:t>
            </w:r>
          </w:p>
          <w:p>
            <w:pPr>
              <w:pStyle w:val="null3"/>
            </w:pPr>
            <w:r>
              <w:rPr>
                <w:rFonts w:ascii="仿宋_GB2312" w:hAnsi="仿宋_GB2312" w:cs="仿宋_GB2312" w:eastAsia="仿宋_GB2312"/>
              </w:rPr>
              <w:t>项目完成时间：合同签订之日起</w:t>
            </w:r>
            <w:r>
              <w:rPr>
                <w:rFonts w:ascii="仿宋_GB2312" w:hAnsi="仿宋_GB2312" w:cs="仿宋_GB2312" w:eastAsia="仿宋_GB2312"/>
              </w:rPr>
              <w:t>30天内完成。</w:t>
            </w:r>
          </w:p>
          <w:p>
            <w:pPr>
              <w:pStyle w:val="null3"/>
            </w:pPr>
            <w:r>
              <w:rPr>
                <w:rFonts w:ascii="仿宋_GB2312" w:hAnsi="仿宋_GB2312" w:cs="仿宋_GB2312" w:eastAsia="仿宋_GB2312"/>
              </w:rPr>
              <w:t>质保期：硬件及软件质保两年。</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1.付款方式：验收完成后支付项目金额100%。</w:t>
            </w:r>
          </w:p>
          <w:p>
            <w:pPr>
              <w:pStyle w:val="null3"/>
            </w:pPr>
            <w:r>
              <w:rPr>
                <w:rFonts w:ascii="仿宋_GB2312" w:hAnsi="仿宋_GB2312" w:cs="仿宋_GB2312" w:eastAsia="仿宋_GB2312"/>
                <w:sz w:val="21"/>
              </w:rPr>
              <w:t>（上述</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”要求供应商须实质性响应，提供上述要求的相关佐证材料，若未响应，将判定为不满足实质要求。）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合同签订后30日历天内到货并完成安装调试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其他，验收完成后，达到付款条件起30个工作日内，支付合同总金额的100.0%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1）合同文本及合同补充文件（条款）； 2）采购文件及成交人的响应文件； 3）货物清单；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硬件及软件质保两年。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1.提供假货、串货、伪劣产品，采购人有权终止合同、全额退款并追究赔偿。 2.服务不达标、故障响应不及时，采购人有权扣除相应费用。 其他详见合同。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二、成交人在领取成交通知书前将纸质版谈判响应文件正本 1 份、副本 2 份打印后提交至采购代理公司处，成交人应保持谈判响应文件纸质版内容与电子版内容完全一致，否则将承担一切法律责任。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提供注册登记凭证（营业执照、事业单位法人证书、其他组织经营的合法凭证，自然人的提供身份证明文件）。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提供具有履行合同所必需的设备和专业技术能力书面声明文件。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提供缴费所属日期为投标截止时间前六个月内任一月份（投标截止时间当月不计入）的增值税（或企业所得税）缴费凭据或税务机关出具的完税证明/在法规范围内不需提供的应出具书面说明和证明文件；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提供缴费所属日期为投标截止时间前六个月内任一月份（投标截止时间当月不计入）的缴费凭据或社保机关出具的缴费证明/在法规范围内不需提供的应出具书面说明和证明文件；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响应文件签字盖章、响应有效期满足谈判文件要求</w:t>
            </w:r>
          </w:p>
        </w:tc>
        <w:tc>
          <w:tcPr>
            <w:tcW w:type="dxa" w:w="1661"/>
          </w:tcPr>
          <w:p>
            <w:pPr>
              <w:pStyle w:val="null3"/>
            </w:pPr>
            <w:r>
              <w:rPr>
                <w:rFonts w:ascii="仿宋_GB2312" w:hAnsi="仿宋_GB2312" w:cs="仿宋_GB2312" w:eastAsia="仿宋_GB2312"/>
              </w:rPr>
              <w:t>响应文件封面 中小企业声明函 设备分项报价表.docx 标的清单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1.报价未超过规定的采购预算价或最高限价 2.供货期是否符合谈判文件的要求 3.响应文件是否实质性响应了谈判文件要求的全部条款、条件和规格要求</w:t>
            </w:r>
          </w:p>
        </w:tc>
        <w:tc>
          <w:tcPr>
            <w:tcW w:type="dxa" w:w="1661"/>
          </w:tcPr>
          <w:p>
            <w:pPr>
              <w:pStyle w:val="null3"/>
            </w:pPr>
            <w:r>
              <w:rPr>
                <w:rFonts w:ascii="仿宋_GB2312" w:hAnsi="仿宋_GB2312" w:cs="仿宋_GB2312" w:eastAsia="仿宋_GB2312"/>
              </w:rPr>
              <w:t>响应文件封面 谈判方案说明书.docx 设备分项报价表.docx 标的清单 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第三章 谈判项目技术、服务、商务及其他要求（带“★”的参数需求为实质性要求，供应商必须响应并满足的参数需求）</w:t>
            </w:r>
          </w:p>
        </w:tc>
        <w:tc>
          <w:tcPr>
            <w:tcW w:type="dxa" w:w="1661"/>
          </w:tcPr>
          <w:p>
            <w:pPr>
              <w:pStyle w:val="null3"/>
            </w:pPr>
            <w:r>
              <w:rPr>
                <w:rFonts w:ascii="仿宋_GB2312" w:hAnsi="仿宋_GB2312" w:cs="仿宋_GB2312" w:eastAsia="仿宋_GB2312"/>
              </w:rPr>
              <w:t>谈判方案说明书.docx 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政府采购活动中既有本国产品又有非本国产品参与竞争的，依法对本国产品给予价格评审优惠，对本国产品的报价给予20%的价格扣除，用扣除后的价格参与评审。（对于仅有本国产品参与的不享受价格折扣优惠）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详见附件：1.西安铁路职业技术学院供货合同（政府采购项目）(2).docx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