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版本号：WXYGJS-202620260618001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卫星遥感技术支撑全省水利行业应用及监管项目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WXYGJS-2026</w:t>
      </w:r>
      <w:r>
        <w:br/>
      </w:r>
      <w:r>
        <w:br/>
      </w:r>
      <w:r>
        <w:br/>
      </w:r>
    </w:p>
    <w:p>
      <w:pPr>
        <w:pStyle w:val="null3"/>
        <w:jc w:val="center"/>
        <w:outlineLvl w:val="2"/>
      </w:pPr>
      <w:r>
        <w:rPr>
          <w:rFonts w:ascii="仿宋_GB2312" w:hAnsi="仿宋_GB2312" w:cs="仿宋_GB2312" w:eastAsia="仿宋_GB2312"/>
          <w:sz w:val="28"/>
          <w:b/>
        </w:rPr>
        <w:t>陕西省水土保持生态环境监测中心</w:t>
      </w:r>
    </w:p>
    <w:p>
      <w:pPr>
        <w:pStyle w:val="null3"/>
        <w:jc w:val="center"/>
        <w:outlineLvl w:val="2"/>
      </w:pPr>
      <w:r>
        <w:rPr>
          <w:rFonts w:ascii="仿宋_GB2312" w:hAnsi="仿宋_GB2312" w:cs="仿宋_GB2312" w:eastAsia="仿宋_GB2312"/>
          <w:sz w:val="28"/>
          <w:b/>
        </w:rPr>
        <w:t>陕西江河工程项目管理有限责任公司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陕西江河工程项目管理有限责任公司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陕西省水土保持生态环境监测中心</w:t>
      </w:r>
      <w:r>
        <w:rPr>
          <w:rFonts w:ascii="仿宋_GB2312" w:hAnsi="仿宋_GB2312" w:cs="仿宋_GB2312" w:eastAsia="仿宋_GB2312"/>
        </w:rPr>
        <w:t>委托，拟对</w:t>
      </w:r>
      <w:r>
        <w:rPr>
          <w:rFonts w:ascii="仿宋_GB2312" w:hAnsi="仿宋_GB2312" w:cs="仿宋_GB2312" w:eastAsia="仿宋_GB2312"/>
        </w:rPr>
        <w:t>卫星遥感技术支撑全省水利行业应用及监管项目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WXYGJS-2026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卫星遥感技术支撑全省水利行业应用及监管项目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当前，卫星遥感技术已深入应用于防洪抗旱、水资源管理与调配、河湖管理、水土保持和水利工程监测等多个水利核心业务领域。为更好地支撑全省水利行业应用及监管工作，提升我单位在卫星遥感影像数据方面的统筹管理能力及综合服务水平，亟需解决当前面临的遥感影像统筹管理分散、影像产品发布效率不高、综合服务能力不足等现实问题。 为此，结合全省水利业务实际需求，拟开展本项目建设，进一步完善多层次、多维度的遥感影像综合服务体系，显著提升陕西省水土保持生态环境监测中心在多源遥感影像统筹、多源时空数据管理及共享服务等方面的能力。 同时，为积极响应国家信息技术应用创新战略，本项目平台将同步开展国产化适配改造工作，确保系统在自主可控的国产软硬件环境下稳定运行，从而为全省水利行业提供更加安全、可靠的遥感数据服务支撑。</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采购包1（卫星遥感技术支撑全省水利行业应用及监管项目监理）：属于专门面向中小企业采购。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w:t>
      </w:r>
    </w:p>
    <w:p>
      <w:pPr>
        <w:pStyle w:val="null3"/>
      </w:pPr>
      <w:r>
        <w:rPr>
          <w:rFonts w:ascii="仿宋_GB2312" w:hAnsi="仿宋_GB2312" w:cs="仿宋_GB2312" w:eastAsia="仿宋_GB2312"/>
        </w:rPr>
        <w:t>2、财务状况报告：提供近一年度经审计的财务会计报告（含附表附注，且依据财会[2023]15号文要求，审计报告须附有可查验验证码），或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3、社保缴纳证明：提供递交投标文件截止之日前一年内任意一个月的社会保障资金缴存单据或社保机构开具的社会保险参保缴费情况证明。依法不需要缴纳社会保障资金的供应商应提供相关证明文件；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4、税收缴纳证明：提供递交投标文件截止之日前一年内任意一个月的依法缴纳税收的相关凭据（时间以税款所属日期为准）。依法免税或无须缴纳税收的供应商，应提供相应证明文件；</w:t>
      </w:r>
    </w:p>
    <w:p>
      <w:pPr>
        <w:pStyle w:val="null3"/>
      </w:pPr>
      <w:r>
        <w:rPr>
          <w:rFonts w:ascii="仿宋_GB2312" w:hAnsi="仿宋_GB2312" w:cs="仿宋_GB2312" w:eastAsia="仿宋_GB2312"/>
        </w:rPr>
        <w:t>5、具有履行本合同所必需的设备和专业技术能力：提供具有履行本合同所必需的设备和专业技术能力的承诺；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6、参加政府采购活动前三年内，在经营活动中没有重大违法记录：提供参加政府采购活动前三年内，在经营活动中没有重大违法记录的投标响应声明书；</w:t>
      </w:r>
    </w:p>
    <w:p>
      <w:pPr>
        <w:pStyle w:val="null3"/>
      </w:pPr>
      <w:r>
        <w:rPr>
          <w:rFonts w:ascii="仿宋_GB2312" w:hAnsi="仿宋_GB2312" w:cs="仿宋_GB2312" w:eastAsia="仿宋_GB2312"/>
        </w:rPr>
        <w:t>7、总监理工程师要求：总监理工程师须具有信息系统监理师或注册水利工程专业监理工程师资格证书；</w:t>
      </w:r>
    </w:p>
    <w:p>
      <w:pPr>
        <w:pStyle w:val="null3"/>
      </w:pPr>
      <w:r>
        <w:rPr>
          <w:rFonts w:ascii="仿宋_GB2312" w:hAnsi="仿宋_GB2312" w:cs="仿宋_GB2312" w:eastAsia="仿宋_GB2312"/>
        </w:rPr>
        <w:t>8、单位负责人要求：单位负责人为同一人或者存在直接控股、管理关系的不同供应商，不得参加同一合同项下的政府采购活动；</w:t>
      </w:r>
    </w:p>
    <w:p>
      <w:pPr>
        <w:pStyle w:val="null3"/>
      </w:pPr>
      <w:r>
        <w:rPr>
          <w:rFonts w:ascii="仿宋_GB2312" w:hAnsi="仿宋_GB2312" w:cs="仿宋_GB2312" w:eastAsia="仿宋_GB2312"/>
        </w:rPr>
        <w:t>9、信用查询：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w:t>
      </w:r>
    </w:p>
    <w:p>
      <w:pPr>
        <w:pStyle w:val="null3"/>
      </w:pPr>
      <w:r>
        <w:rPr>
          <w:rFonts w:ascii="仿宋_GB2312" w:hAnsi="仿宋_GB2312" w:cs="仿宋_GB2312" w:eastAsia="仿宋_GB2312"/>
        </w:rPr>
        <w:t>2、财务状况报告：提供近一年度经审计的财务会计报告（含附表附注，且依据财会[2023]15号文要求，审计报告须附有可查验验证码），或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3、社保缴纳证明：提供递交投标文件截止之日前一年内任意一个月的社会保障资金缴存单据或社保机构开具的社会保险参保缴费情况证明。依法不需要缴纳社会保障资金的供应商应提供相关证明文件；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4、税收缴纳证明：提供递交投标文件截止之日前一年内任意一个月的依法缴纳税收的相关凭据（时间以税款所属日期为准）。依法免税或无须缴纳税收的供应商，应提供相应证明文件；</w:t>
      </w:r>
    </w:p>
    <w:p>
      <w:pPr>
        <w:pStyle w:val="null3"/>
      </w:pPr>
      <w:r>
        <w:rPr>
          <w:rFonts w:ascii="仿宋_GB2312" w:hAnsi="仿宋_GB2312" w:cs="仿宋_GB2312" w:eastAsia="仿宋_GB2312"/>
        </w:rPr>
        <w:t>5、具有履行本合同所必需的设备和专业技术能力：提供具有履行本合同所必需的设备和专业技术能力的承诺；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6、参加政府采购活动前三年内，在经营活动中没有重大违法记录：提供参加政府采购活动前三年内，在经营活动中没有重大违法记录的投标响应声明书；</w:t>
      </w:r>
    </w:p>
    <w:p>
      <w:pPr>
        <w:pStyle w:val="null3"/>
      </w:pPr>
      <w:r>
        <w:rPr>
          <w:rFonts w:ascii="仿宋_GB2312" w:hAnsi="仿宋_GB2312" w:cs="仿宋_GB2312" w:eastAsia="仿宋_GB2312"/>
        </w:rPr>
        <w:t>7、资质要求：投标人须具有摄影测量与遥感、地理信息系统工程专业甲级测绘资质证书；</w:t>
      </w:r>
    </w:p>
    <w:p>
      <w:pPr>
        <w:pStyle w:val="null3"/>
      </w:pPr>
      <w:r>
        <w:rPr>
          <w:rFonts w:ascii="仿宋_GB2312" w:hAnsi="仿宋_GB2312" w:cs="仿宋_GB2312" w:eastAsia="仿宋_GB2312"/>
        </w:rPr>
        <w:t>8、单位负责人要求：单位负责人为同一人或者存在直接控股、管理关系的不同供应商，不得参加同一合同项下的政府采购活动；</w:t>
      </w:r>
    </w:p>
    <w:p>
      <w:pPr>
        <w:pStyle w:val="null3"/>
      </w:pPr>
      <w:r>
        <w:rPr>
          <w:rFonts w:ascii="仿宋_GB2312" w:hAnsi="仿宋_GB2312" w:cs="仿宋_GB2312" w:eastAsia="仿宋_GB2312"/>
        </w:rPr>
        <w:t>9、信用查询：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陕西省水土保持生态环境监测中心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西安市航天经济技术开发区神舟四路239号1幢1单位</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陕西省水土保持生态环境监测中心经办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029-85936065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陕西江河工程项目管理有限责任公司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陕西省西安市未央区陕西省西安市经开区文景路中段202号陕西省三门峡库区防汛调度中心11楼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孙超、邹贤钧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029-86100133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p>
          <w:p>
            <w:pPr>
              <w:pStyle w:val="null3"/>
            </w:pPr>
            <w:r>
              <w:rPr>
                <w:rFonts w:ascii="仿宋_GB2312" w:hAnsi="仿宋_GB2312" w:cs="仿宋_GB2312" w:eastAsia="仿宋_GB2312"/>
              </w:rPr>
              <w:t>采购包2：8,270,000.00元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采购包1保证金金额：0.00元</w:t>
            </w:r>
          </w:p>
          <w:p>
            <w:pPr>
              <w:pStyle w:val="null3"/>
            </w:pPr>
            <w:r>
              <w:rPr>
                <w:rFonts w:ascii="仿宋_GB2312" w:hAnsi="仿宋_GB2312" w:cs="仿宋_GB2312" w:eastAsia="仿宋_GB2312"/>
              </w:rPr>
              <w:t>采购包2保证金金额：100,000.00元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开户名称：陕西江河工程项目管理有限责任公司</w:t>
            </w:r>
          </w:p>
          <w:p>
            <w:pPr>
              <w:pStyle w:val="null3"/>
            </w:pPr>
            <w:r>
              <w:rPr>
                <w:rFonts w:ascii="仿宋_GB2312" w:hAnsi="仿宋_GB2312" w:cs="仿宋_GB2312" w:eastAsia="仿宋_GB2312"/>
              </w:rPr>
              <w:t>开户银行：招商银行西安凤城十二路支行</w:t>
            </w:r>
          </w:p>
          <w:p>
            <w:pPr>
              <w:pStyle w:val="null3"/>
            </w:pPr>
            <w:r>
              <w:rPr>
                <w:rFonts w:ascii="仿宋_GB2312" w:hAnsi="仿宋_GB2312" w:cs="仿宋_GB2312" w:eastAsia="仿宋_GB2312"/>
              </w:rPr>
              <w:t>银行账号：1299 1379 2410 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代理服务费收费标准：参照原国家计委《招标代理服务收费管理暂行办法》 (计价格[2002]1980 号）文件计取。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陕西省水土保持生态环境监测中心</w:t>
      </w:r>
      <w:r>
        <w:rPr>
          <w:rFonts w:ascii="仿宋_GB2312" w:hAnsi="仿宋_GB2312" w:cs="仿宋_GB2312" w:eastAsia="仿宋_GB2312"/>
        </w:rPr>
        <w:t>和</w:t>
      </w:r>
      <w:r>
        <w:rPr>
          <w:rFonts w:ascii="仿宋_GB2312" w:hAnsi="仿宋_GB2312" w:cs="仿宋_GB2312" w:eastAsia="仿宋_GB2312"/>
        </w:rPr>
        <w:t>陕西江河工程项目管理有限责任公司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陕西省水土保持生态环境监测中心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陕西江河工程项目管理有限责任公司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陕西省水土保持生态环境监测中心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陕西江河工程项目管理有限责任公司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参照合同执行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同验收条件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同验收条件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陕西江河工程项目管理有限责任公司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陕西江河工程项目管理有限责任公司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陕西江河工程项目管理有限责任公司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联系人：孙超、邹贤钧</w:t>
      </w:r>
    </w:p>
    <w:p>
      <w:pPr>
        <w:pStyle w:val="null3"/>
      </w:pPr>
      <w:r>
        <w:rPr>
          <w:rFonts w:ascii="仿宋_GB2312" w:hAnsi="仿宋_GB2312" w:cs="仿宋_GB2312" w:eastAsia="仿宋_GB2312"/>
        </w:rPr>
        <w:t>联系电话：029-86100133</w:t>
      </w:r>
    </w:p>
    <w:p>
      <w:pPr>
        <w:pStyle w:val="null3"/>
      </w:pPr>
      <w:r>
        <w:rPr>
          <w:rFonts w:ascii="仿宋_GB2312" w:hAnsi="仿宋_GB2312" w:cs="仿宋_GB2312" w:eastAsia="仿宋_GB2312"/>
        </w:rPr>
        <w:t>地址：陕西省西安市经开区文景路中段202号陕西省三门峡库区防汛调度中心11楼</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当前，卫星遥感技术已深入应用于防洪抗旱、水资源管理与调配、河湖管理、水土保持和水利工程监测等多个水利核心业务领域。为更好地支撑全省水利行业应用及监管工作，提升我单位在卫星遥感影像数据方面的统筹管理能力及综合服务水平，亟需解决当前面临的遥感影像统筹管理分散、影像产品发布效率不高、综合服务能力不足等现实问题。 为此，结合全省水利业务实际需求，拟开展本项目建设，进一步完善多层次、多维度的遥感影像综合服务体系，显著提升陕西省水土保持生态环境监测中心在多源遥感影像统筹、多源时空数据管理及共享服务等方面的能力。 同时，为积极响应国家信息技术应用创新战略，本项目平台将同步开展国产化适配改造工作，确保系统在自主可控的国产软硬件环境下稳定运行，从而为全省水利行业提供更加安全、可靠的遥感数据服务支撑。</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卫星遥感技术支撑全省水利行业应用及监管项目监理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8,270,000.00</w:t>
      </w:r>
    </w:p>
    <w:p>
      <w:pPr>
        <w:pStyle w:val="null3"/>
      </w:pPr>
      <w:r>
        <w:rPr>
          <w:rFonts w:ascii="仿宋_GB2312" w:hAnsi="仿宋_GB2312" w:cs="仿宋_GB2312" w:eastAsia="仿宋_GB2312"/>
        </w:rPr>
        <w:t>采购包最高限价（元）: 8,270,000.00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卫星遥感技术支撑全省水利行业应用及监管项目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8,270,000.00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标的名称：卫星遥感技术支撑全省水利行业应用及监管项目监理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一、项目背景</w:t>
            </w:r>
          </w:p>
          <w:p>
            <w:pPr>
              <w:pStyle w:val="null3"/>
              <w:ind w:firstLine="480"/>
              <w:jc w:val="both"/>
            </w:pPr>
            <w:r>
              <w:rPr>
                <w:rFonts w:ascii="仿宋_GB2312" w:hAnsi="仿宋_GB2312" w:cs="仿宋_GB2312" w:eastAsia="仿宋_GB2312"/>
                <w:sz w:val="24"/>
              </w:rPr>
              <w:t>当前，卫星遥感技术已深入应用于防洪抗旱、水资源管理与调配、河湖管理、水土保持和水利工程监测等多个水利核心业务领域。为更好地支撑全省水利行业应用及监管工作，提升我单位在卫星遥感影像数据方面的统筹管理能力及综合服务水平，亟需解决当前面临的遥感影像统筹管理分散、影像产品发布效率不高、综合服务能力不足等现实问题。</w:t>
            </w:r>
          </w:p>
          <w:p>
            <w:pPr>
              <w:pStyle w:val="null3"/>
              <w:ind w:firstLine="480"/>
              <w:jc w:val="both"/>
            </w:pPr>
            <w:r>
              <w:rPr>
                <w:rFonts w:ascii="仿宋_GB2312" w:hAnsi="仿宋_GB2312" w:cs="仿宋_GB2312" w:eastAsia="仿宋_GB2312"/>
                <w:sz w:val="24"/>
              </w:rPr>
              <w:t>为此，结合全省水利业务实际需求，拟开展本项目建设，进一步完善多层次、多维度的遥感影像综合服务体系，显著提升陕西省水土保持生态环境监测中心在多源遥感影像统筹、多源时空数据管理及共享服务等方面的能力。</w:t>
            </w:r>
          </w:p>
          <w:p>
            <w:pPr>
              <w:pStyle w:val="null3"/>
              <w:ind w:firstLine="480"/>
              <w:jc w:val="both"/>
            </w:pPr>
            <w:r>
              <w:rPr>
                <w:rFonts w:ascii="仿宋_GB2312" w:hAnsi="仿宋_GB2312" w:cs="仿宋_GB2312" w:eastAsia="仿宋_GB2312"/>
                <w:sz w:val="24"/>
              </w:rPr>
              <w:t>同时，为积极响应国家信息技术应用创新战略，本项目平台将同步开展国产化适配改造工作，确保系统在自主可控的国产软硬件环境下稳定运行，从而为全省水利行业提供更加安全、可靠的遥感数据服务支撑。</w:t>
            </w:r>
          </w:p>
          <w:p>
            <w:pPr>
              <w:pStyle w:val="null3"/>
              <w:jc w:val="both"/>
            </w:pPr>
            <w:r>
              <w:rPr>
                <w:rFonts w:ascii="仿宋_GB2312" w:hAnsi="仿宋_GB2312" w:cs="仿宋_GB2312" w:eastAsia="仿宋_GB2312"/>
                <w:sz w:val="24"/>
                <w:b/>
              </w:rPr>
              <w:t>二、项目需求</w:t>
            </w:r>
          </w:p>
          <w:p>
            <w:pPr>
              <w:pStyle w:val="null3"/>
              <w:ind w:firstLine="480"/>
              <w:jc w:val="both"/>
            </w:pPr>
            <w:r>
              <w:rPr>
                <w:rFonts w:ascii="仿宋_GB2312" w:hAnsi="仿宋_GB2312" w:cs="仿宋_GB2312" w:eastAsia="仿宋_GB2312"/>
                <w:sz w:val="24"/>
              </w:rPr>
              <w:t>随着水利行业对高频次、大范围、高精度遥感数据需求的日益增长，以及全省水利监管精细化、智能化水平的不断提升，现有基础设施与数据处理能力已难以满足海量多时相遥感影像的快速汇聚、高效处理与即时服务要求。为全面提升我省水利遥感数据统筹调度能力与业务支撑水平，亟需开展本项目建设，具体需求如下：</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）基础环境与计算能力需求</w:t>
            </w:r>
          </w:p>
          <w:p>
            <w:pPr>
              <w:pStyle w:val="null3"/>
              <w:ind w:firstLine="480"/>
              <w:jc w:val="both"/>
            </w:pPr>
            <w:r>
              <w:rPr>
                <w:rFonts w:ascii="仿宋_GB2312" w:hAnsi="仿宋_GB2312" w:cs="仿宋_GB2312" w:eastAsia="仿宋_GB2312"/>
                <w:sz w:val="24"/>
              </w:rPr>
              <w:t>当前我单位机房及配套基础设施存在计算资源不足、存储能力有限、网络带宽瓶颈等问题，难以支撑PB级遥感影像数据的高效流转与并发处理。需通过机房标准化改造、超融合平台、分布式存储系统及高速网络链路部署，构建具备“感知、传输、存储、计算、展示”一体化能力的基础设施底座，满足海量数据毫秒级调用、高并发处理及全生命周期管理的实际业务需求。</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）遥感影像数据统筹与获取需求</w:t>
            </w:r>
          </w:p>
          <w:p>
            <w:pPr>
              <w:pStyle w:val="null3"/>
              <w:ind w:firstLine="480"/>
              <w:jc w:val="both"/>
            </w:pPr>
            <w:r>
              <w:rPr>
                <w:rFonts w:ascii="仿宋_GB2312" w:hAnsi="仿宋_GB2312" w:cs="仿宋_GB2312" w:eastAsia="仿宋_GB2312"/>
                <w:sz w:val="24"/>
              </w:rPr>
              <w:t>水利业务（如防洪抗旱、河湖监管、水土保持等）对多源、多分辨率、多时相遥感影像数据具有持续且迫切的获取需求。当前数据获取渠道单一、更新滞后、覆盖不全，难以支撑动态监测与快速响应。需建立以政府影像提供单位为主渠道，商业卫星与开源数据为补充的“三位一体”协同获取体系，实现全省水利遥感影像的统筹汇聚与动态更新。</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）数据生产、共享与服务能力需求</w:t>
            </w:r>
          </w:p>
          <w:p>
            <w:pPr>
              <w:pStyle w:val="null3"/>
              <w:ind w:firstLine="480"/>
              <w:jc w:val="both"/>
            </w:pPr>
            <w:r>
              <w:rPr>
                <w:rFonts w:ascii="仿宋_GB2312" w:hAnsi="仿宋_GB2312" w:cs="仿宋_GB2312" w:eastAsia="仿宋_GB2312"/>
                <w:sz w:val="24"/>
              </w:rPr>
              <w:t>现有遥感数据处理流程分散、自动化程度低、解译能力薄弱，缺乏统一的数据管理与服务平台，导致数据共享难、发布慢、应用深度不足。亟需建设集数据汇聚、高效处理、智能拓展、存储管理、共享发布与业务应用于一体的陕西省水利时空数据共享服务平台，打通从数据接入到标准化服务的全自动化业务链条，实现对水利遥感数据从“看得见”、“管得住”到“用得好”的全方位能力提升，为全省水利业务应用（如：防洪抗旱、水资源管理、河湖监管、水土保持及水利工程监测等）提供高效、稳定、自主可控的遥感服务保障。</w:t>
            </w:r>
          </w:p>
          <w:p>
            <w:pPr>
              <w:pStyle w:val="null3"/>
              <w:jc w:val="both"/>
            </w:pPr>
            <w:r>
              <w:rPr>
                <w:rFonts w:ascii="仿宋_GB2312" w:hAnsi="仿宋_GB2312" w:cs="仿宋_GB2312" w:eastAsia="仿宋_GB2312"/>
                <w:sz w:val="24"/>
                <w:b/>
              </w:rPr>
              <w:t>三、监理内容及要求</w:t>
            </w:r>
          </w:p>
          <w:p>
            <w:pPr>
              <w:pStyle w:val="null3"/>
              <w:ind w:firstLine="480"/>
              <w:jc w:val="both"/>
            </w:pPr>
            <w:r>
              <w:rPr>
                <w:rFonts w:ascii="仿宋_GB2312" w:hAnsi="仿宋_GB2312" w:cs="仿宋_GB2312" w:eastAsia="仿宋_GB2312"/>
                <w:sz w:val="24"/>
              </w:rPr>
              <w:t>为保障本次项目顺利实施和完成项目建设目标，保障基础环境升级、基础软件平台研发、遥感专业软件采购及业务应用落地，本项目拟采购以下内容：</w:t>
            </w:r>
          </w:p>
          <w:tbl>
            <w:tblPr>
              <w:tblBorders>
                <w:top w:val="none" w:color="000000" w:sz="4"/>
                <w:left w:val="none" w:color="000000" w:sz="4"/>
                <w:bottom w:val="none" w:color="000000" w:sz="4"/>
                <w:right w:val="none" w:color="000000" w:sz="4"/>
                <w:insideH w:val="none"/>
                <w:insideV w:val="none"/>
              </w:tblBorders>
            </w:tblPr>
            <w:tblGrid>
              <w:gridCol w:w="184"/>
              <w:gridCol w:w="368"/>
              <w:gridCol w:w="1105"/>
              <w:gridCol w:w="263"/>
              <w:gridCol w:w="237"/>
              <w:gridCol w:w="395"/>
            </w:tblGrid>
            <w:tr>
              <w:tc>
                <w:tcPr>
                  <w:tcW w:type="dxa" w:w="18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序号</w:t>
                  </w:r>
                </w:p>
              </w:tc>
              <w:tc>
                <w:tcPr>
                  <w:tcW w:type="dxa" w:w="1473"/>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项目名称</w:t>
                  </w:r>
                </w:p>
              </w:tc>
              <w:tc>
                <w:tcPr>
                  <w:tcW w:type="dxa" w:w="26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单位</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数量</w:t>
                  </w:r>
                </w:p>
              </w:tc>
              <w:tc>
                <w:tcPr>
                  <w:tcW w:type="dxa" w:w="3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是否为核心产品</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47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机房基础环境改造</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否</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47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网络环境建设</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是</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47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超融合平台及存储系统建设</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是</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遥感应用系统</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遥感影像数据推送系统</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是</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c>
                <w:tcPr>
                  <w:tcW w:type="dxa" w:w="368"/>
                  <w:vMerge/>
                  <w:tcBorders>
                    <w:top w:val="none" w:color="000000" w:sz="4"/>
                    <w:left w:val="none" w:color="000000" w:sz="4"/>
                    <w:bottom w:val="single" w:color="000000" w:sz="4"/>
                    <w:right w:val="single" w:color="000000" w:sz="4"/>
                  </w:tcBorders>
                </w:tcP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遥感影像数据治理系统</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是</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6</w:t>
                  </w:r>
                </w:p>
              </w:tc>
              <w:tc>
                <w:tcPr>
                  <w:tcW w:type="dxa" w:w="368"/>
                  <w:vMerge/>
                  <w:tcBorders>
                    <w:top w:val="none" w:color="000000" w:sz="4"/>
                    <w:left w:val="none" w:color="000000" w:sz="4"/>
                    <w:bottom w:val="single" w:color="000000" w:sz="4"/>
                    <w:right w:val="single" w:color="000000" w:sz="4"/>
                  </w:tcBorders>
                </w:tcP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遥感影像数据处理系统</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是</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7</w:t>
                  </w:r>
                </w:p>
              </w:tc>
              <w:tc>
                <w:tcPr>
                  <w:tcW w:type="dxa" w:w="368"/>
                  <w:vMerge/>
                  <w:tcBorders>
                    <w:top w:val="none" w:color="000000" w:sz="4"/>
                    <w:left w:val="none" w:color="000000" w:sz="4"/>
                    <w:bottom w:val="single" w:color="000000" w:sz="4"/>
                    <w:right w:val="single" w:color="000000" w:sz="4"/>
                  </w:tcBorders>
                </w:tcP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遥感影像数据服务系统</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是</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8</w:t>
                  </w:r>
                </w:p>
              </w:tc>
              <w:tc>
                <w:tcPr>
                  <w:tcW w:type="dxa" w:w="368"/>
                  <w:vMerge/>
                  <w:tcBorders>
                    <w:top w:val="none" w:color="000000" w:sz="4"/>
                    <w:left w:val="none" w:color="000000" w:sz="4"/>
                    <w:bottom w:val="single" w:color="000000" w:sz="4"/>
                    <w:right w:val="single" w:color="000000" w:sz="4"/>
                  </w:tcBorders>
                </w:tcP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时空数据管理系统</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是</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9</w:t>
                  </w:r>
                </w:p>
              </w:tc>
              <w:tc>
                <w:tcPr>
                  <w:tcW w:type="dxa" w:w="368"/>
                  <w:vMerge/>
                  <w:tcBorders>
                    <w:top w:val="none" w:color="000000" w:sz="4"/>
                    <w:left w:val="none" w:color="000000" w:sz="4"/>
                    <w:bottom w:val="single" w:color="000000" w:sz="4"/>
                    <w:right w:val="single" w:color="000000" w:sz="4"/>
                  </w:tcBorders>
                </w:tcP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时空数据服务发布系统</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是</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w:t>
                  </w:r>
                </w:p>
              </w:tc>
              <w:tc>
                <w:tcPr>
                  <w:tcW w:type="dxa" w:w="368"/>
                  <w:vMerge/>
                  <w:tcBorders>
                    <w:top w:val="none" w:color="000000" w:sz="4"/>
                    <w:left w:val="none" w:color="000000" w:sz="4"/>
                    <w:bottom w:val="single" w:color="000000" w:sz="4"/>
                    <w:right w:val="single" w:color="000000" w:sz="4"/>
                  </w:tcBorders>
                </w:tcP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时空数据综合服务系统</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是</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11</w:t>
                  </w:r>
                </w:p>
              </w:tc>
              <w:tc>
                <w:tcPr>
                  <w:tcW w:type="dxa" w:w="368"/>
                  <w:vMerge/>
                  <w:tcBorders>
                    <w:top w:val="none" w:color="000000" w:sz="4"/>
                    <w:left w:val="none" w:color="000000" w:sz="4"/>
                    <w:bottom w:val="single" w:color="000000" w:sz="4"/>
                    <w:right w:val="single" w:color="000000" w:sz="4"/>
                  </w:tcBorders>
                </w:tcP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应用拓展系统</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是</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12</w:t>
                  </w:r>
                </w:p>
              </w:tc>
              <w:tc>
                <w:tcPr>
                  <w:tcW w:type="dxa" w:w="368"/>
                  <w:vMerge/>
                  <w:tcBorders>
                    <w:top w:val="none" w:color="000000" w:sz="4"/>
                    <w:left w:val="none" w:color="000000" w:sz="4"/>
                    <w:bottom w:val="single" w:color="000000" w:sz="4"/>
                    <w:right w:val="single" w:color="000000" w:sz="4"/>
                  </w:tcBorders>
                </w:tcP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采购高分辨率一体化测图专业软件</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节点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是</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13</w:t>
                  </w:r>
                </w:p>
              </w:tc>
              <w:tc>
                <w:tcPr>
                  <w:tcW w:type="dxa" w:w="368"/>
                  <w:vMerge/>
                  <w:tcBorders>
                    <w:top w:val="none" w:color="000000" w:sz="4"/>
                    <w:left w:val="none" w:color="000000" w:sz="4"/>
                    <w:bottom w:val="single" w:color="000000" w:sz="4"/>
                    <w:right w:val="single" w:color="000000" w:sz="4"/>
                  </w:tcBorders>
                </w:tcP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采购遥感影像镶嵌匀色专业软件</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节点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是</w:t>
                  </w:r>
                </w:p>
              </w:tc>
            </w:tr>
          </w:tbl>
          <w:p>
            <w:pPr>
              <w:pStyle w:val="null3"/>
              <w:ind w:firstLine="480"/>
              <w:jc w:val="both"/>
            </w:pPr>
            <w:r>
              <w:rPr>
                <w:rFonts w:ascii="仿宋_GB2312" w:hAnsi="仿宋_GB2312" w:cs="仿宋_GB2312" w:eastAsia="仿宋_GB2312"/>
                <w:sz w:val="24"/>
              </w:rPr>
              <w:t>完成《卫星遥感技术支撑全省水利行业应用及监管项目实施方案》、《卫星遥感技术支撑全省水利行业应用及监管项目设计书》、《卫星遥感技术支撑全省水利行业应用及监管项目工作总结报告》、《卫星遥感技术支撑全省水利行业应用及监管项目技术总结报告》的监理服务。</w:t>
            </w:r>
          </w:p>
          <w:p>
            <w:pPr>
              <w:pStyle w:val="null3"/>
              <w:jc w:val="both"/>
            </w:pPr>
            <w:r>
              <w:rPr>
                <w:rFonts w:ascii="仿宋_GB2312" w:hAnsi="仿宋_GB2312" w:cs="仿宋_GB2312" w:eastAsia="仿宋_GB2312"/>
                <w:sz w:val="24"/>
                <w:b/>
              </w:rPr>
              <w:t>四、协助采购人组织的验收要求</w:t>
            </w:r>
          </w:p>
          <w:p>
            <w:pPr>
              <w:pStyle w:val="null3"/>
              <w:ind w:firstLine="480"/>
            </w:pPr>
            <w:r>
              <w:rPr>
                <w:rFonts w:ascii="仿宋_GB2312" w:hAnsi="仿宋_GB2312" w:cs="仿宋_GB2312" w:eastAsia="仿宋_GB2312"/>
                <w:sz w:val="24"/>
              </w:rPr>
              <w:t>到货验收：采购人在收到供应商提供的货物时，当场依据合同清单</w:t>
            </w:r>
            <w:r>
              <w:rPr>
                <w:rFonts w:ascii="仿宋_GB2312" w:hAnsi="仿宋_GB2312" w:cs="仿宋_GB2312" w:eastAsia="仿宋_GB2312"/>
                <w:sz w:val="24"/>
              </w:rPr>
              <w:t>,</w:t>
            </w:r>
            <w:r>
              <w:rPr>
                <w:rFonts w:ascii="仿宋_GB2312" w:hAnsi="仿宋_GB2312" w:cs="仿宋_GB2312" w:eastAsia="仿宋_GB2312"/>
                <w:sz w:val="24"/>
              </w:rPr>
              <w:t>对货物型号、数量、技术参数等进行核对，满足要求即可签收。如与合同不符采购人有权拒收，供应商需重新交货。如供应商逾期交货，应承担违约责任。</w:t>
            </w:r>
          </w:p>
          <w:p>
            <w:pPr>
              <w:pStyle w:val="null3"/>
              <w:ind w:firstLine="480"/>
            </w:pPr>
            <w:r>
              <w:rPr>
                <w:rFonts w:ascii="仿宋_GB2312" w:hAnsi="仿宋_GB2312" w:cs="仿宋_GB2312" w:eastAsia="仿宋_GB2312"/>
                <w:sz w:val="24"/>
              </w:rPr>
              <w:t>初步验收：采购人收到全部货物且设备安装调试完成后正常运行</w:t>
            </w:r>
            <w:r>
              <w:rPr>
                <w:rFonts w:ascii="仿宋_GB2312" w:hAnsi="仿宋_GB2312" w:cs="仿宋_GB2312" w:eastAsia="仿宋_GB2312"/>
                <w:sz w:val="24"/>
              </w:rPr>
              <w:t>1</w:t>
            </w:r>
            <w:r>
              <w:rPr>
                <w:rFonts w:ascii="仿宋_GB2312" w:hAnsi="仿宋_GB2312" w:cs="仿宋_GB2312" w:eastAsia="仿宋_GB2312"/>
                <w:sz w:val="24"/>
              </w:rPr>
              <w:t>个月后，由供应商向采购人提交初步验收申请，采购人组织项目初步验收，通过后出具初步 验收意见。</w:t>
            </w:r>
          </w:p>
          <w:p>
            <w:pPr>
              <w:pStyle w:val="null3"/>
              <w:ind w:firstLine="480"/>
            </w:pPr>
            <w:r>
              <w:rPr>
                <w:rFonts w:ascii="仿宋_GB2312" w:hAnsi="仿宋_GB2312" w:cs="仿宋_GB2312" w:eastAsia="仿宋_GB2312"/>
                <w:sz w:val="24"/>
              </w:rPr>
              <w:t>最终验收：采购人收到全部货物且设备安装调试完成后正常运行</w:t>
            </w:r>
            <w:r>
              <w:rPr>
                <w:rFonts w:ascii="仿宋_GB2312" w:hAnsi="仿宋_GB2312" w:cs="仿宋_GB2312" w:eastAsia="仿宋_GB2312"/>
                <w:sz w:val="24"/>
              </w:rPr>
              <w:t>2</w:t>
            </w:r>
            <w:r>
              <w:rPr>
                <w:rFonts w:ascii="仿宋_GB2312" w:hAnsi="仿宋_GB2312" w:cs="仿宋_GB2312" w:eastAsia="仿宋_GB2312"/>
                <w:sz w:val="24"/>
              </w:rPr>
              <w:t>个月后，由供应商向采购人提交最终验收申请，采购人可组织项目最终验收，通过后出具终验意见。</w:t>
            </w:r>
          </w:p>
          <w:p>
            <w:pPr>
              <w:pStyle w:val="null3"/>
              <w:jc w:val="both"/>
            </w:pPr>
            <w:r>
              <w:rPr>
                <w:rFonts w:ascii="仿宋_GB2312" w:hAnsi="仿宋_GB2312" w:cs="仿宋_GB2312" w:eastAsia="仿宋_GB2312"/>
                <w:sz w:val="24"/>
                <w:b/>
              </w:rPr>
              <w:t>五、服务期要求</w:t>
            </w:r>
          </w:p>
          <w:p>
            <w:pPr>
              <w:pStyle w:val="null3"/>
              <w:ind w:firstLine="480"/>
            </w:pPr>
            <w:r>
              <w:rPr>
                <w:rFonts w:ascii="仿宋_GB2312" w:hAnsi="仿宋_GB2312" w:cs="仿宋_GB2312" w:eastAsia="仿宋_GB2312"/>
                <w:sz w:val="24"/>
              </w:rPr>
              <w:t>自合同签订之日起150天。</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标的名称：卫星遥感技术支撑全省水利行业应用及监管项目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一、项目背景</w:t>
            </w:r>
          </w:p>
          <w:p>
            <w:pPr>
              <w:pStyle w:val="null3"/>
              <w:ind w:firstLine="480"/>
              <w:jc w:val="both"/>
            </w:pPr>
            <w:r>
              <w:rPr>
                <w:rFonts w:ascii="仿宋_GB2312" w:hAnsi="仿宋_GB2312" w:cs="仿宋_GB2312" w:eastAsia="仿宋_GB2312"/>
                <w:sz w:val="24"/>
              </w:rPr>
              <w:t>当前，卫星遥感技术已深入应用于防洪抗旱、水资源管理与调配、河湖管理、水土保持和水利工程监测等多个水利核心业务领域。为更好地支撑全省水利行业应用及监管工作，提升我单位在卫星遥感影像数据方面的统筹管理能力及综合服务水平，亟需解决当前面临的遥感影像统筹管理分散、影像产品发布效率不高、综合服务能力不足等现实问题。</w:t>
            </w:r>
          </w:p>
          <w:p>
            <w:pPr>
              <w:pStyle w:val="null3"/>
              <w:ind w:firstLine="480"/>
              <w:jc w:val="both"/>
            </w:pPr>
            <w:r>
              <w:rPr>
                <w:rFonts w:ascii="仿宋_GB2312" w:hAnsi="仿宋_GB2312" w:cs="仿宋_GB2312" w:eastAsia="仿宋_GB2312"/>
                <w:sz w:val="24"/>
              </w:rPr>
              <w:t>为此，结合全省水利业务实际需求，拟开展本项目建设，进一步完善多层次、多维度的遥感影像综合服务体系，显著提升陕西省水土保持生态环境监测中心在多源遥感影像统筹、多源时空数据管理及共享服务等方面的能力。</w:t>
            </w:r>
          </w:p>
          <w:p>
            <w:pPr>
              <w:pStyle w:val="null3"/>
              <w:ind w:firstLine="480"/>
              <w:jc w:val="both"/>
            </w:pPr>
            <w:r>
              <w:rPr>
                <w:rFonts w:ascii="仿宋_GB2312" w:hAnsi="仿宋_GB2312" w:cs="仿宋_GB2312" w:eastAsia="仿宋_GB2312"/>
                <w:sz w:val="24"/>
              </w:rPr>
              <w:t>同时，为积极响应国家信息技术应用创新战略，本项目平台将同步开展国产化适配改造工作，确保系统在自主可控的国产软硬件环境下稳定运行，从而为全省水利行业提供更加安全、可靠的遥感数据服务支撑。</w:t>
            </w:r>
          </w:p>
          <w:p>
            <w:pPr>
              <w:pStyle w:val="null3"/>
              <w:jc w:val="both"/>
            </w:pPr>
            <w:r>
              <w:rPr>
                <w:rFonts w:ascii="仿宋_GB2312" w:hAnsi="仿宋_GB2312" w:cs="仿宋_GB2312" w:eastAsia="仿宋_GB2312"/>
                <w:sz w:val="24"/>
                <w:b/>
              </w:rPr>
              <w:t>二、项目需求</w:t>
            </w:r>
          </w:p>
          <w:p>
            <w:pPr>
              <w:pStyle w:val="null3"/>
              <w:ind w:firstLine="480"/>
              <w:jc w:val="both"/>
            </w:pPr>
            <w:r>
              <w:rPr>
                <w:rFonts w:ascii="仿宋_GB2312" w:hAnsi="仿宋_GB2312" w:cs="仿宋_GB2312" w:eastAsia="仿宋_GB2312"/>
                <w:sz w:val="24"/>
              </w:rPr>
              <w:t>随着水利行业对高频次、大范围、高精度遥感数据需求的日益增长，以及全省水利监管精细化、智能化水平的不断提升，现有基础设施与数据处理能力已难以满足海量多时相遥感影像的快速汇聚、高效处理与即时服务要求。为全面提升我省水利遥感数据统筹调度能力与业务支撑水平，亟需开展本项目建设，具体需求如下：</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）基础环境与计算能力需求</w:t>
            </w:r>
          </w:p>
          <w:p>
            <w:pPr>
              <w:pStyle w:val="null3"/>
              <w:ind w:firstLine="480"/>
              <w:jc w:val="both"/>
            </w:pPr>
            <w:r>
              <w:rPr>
                <w:rFonts w:ascii="仿宋_GB2312" w:hAnsi="仿宋_GB2312" w:cs="仿宋_GB2312" w:eastAsia="仿宋_GB2312"/>
                <w:sz w:val="24"/>
              </w:rPr>
              <w:t>当前我单位机房及配套基础设施存在计算资源不足、存储能力有限、网络带宽瓶颈等问题，难以支撑PB级遥感影像数据的高效流转与并发处理。需通过机房标准化改造、超融合平台、分布式存储系统及高速网络链路部署，构建具备“感知、传输、存储、计算、展示”一体化能力的基础设施底座，满足海量数据毫秒级调用、高并发处理及全生命周期管理的实际业务需求。</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）遥感影像数据统筹与获取需求</w:t>
            </w:r>
          </w:p>
          <w:p>
            <w:pPr>
              <w:pStyle w:val="null3"/>
              <w:ind w:firstLine="480"/>
              <w:jc w:val="both"/>
            </w:pPr>
            <w:r>
              <w:rPr>
                <w:rFonts w:ascii="仿宋_GB2312" w:hAnsi="仿宋_GB2312" w:cs="仿宋_GB2312" w:eastAsia="仿宋_GB2312"/>
                <w:sz w:val="24"/>
              </w:rPr>
              <w:t>水利业务（如防洪抗旱、河湖监管、水土保持等）对多源、多分辨率、多时相遥感影像数据具有持续且迫切的获取需求。当前数据获取渠道单一、更新滞后、覆盖不全，难以支撑动态监测与快速响应。需建立以政府影像提供单位为主渠道，商业卫星与开源数据为补充的“三位一体”协同获取体系，实现全省水利遥感影像的统筹汇聚与动态更新。</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）数据生产、共享与服务能力需求</w:t>
            </w:r>
          </w:p>
          <w:p>
            <w:pPr>
              <w:pStyle w:val="null3"/>
              <w:ind w:firstLine="480"/>
              <w:jc w:val="both"/>
            </w:pPr>
            <w:r>
              <w:rPr>
                <w:rFonts w:ascii="仿宋_GB2312" w:hAnsi="仿宋_GB2312" w:cs="仿宋_GB2312" w:eastAsia="仿宋_GB2312"/>
                <w:sz w:val="24"/>
              </w:rPr>
              <w:t>现有遥感数据处理流程分散、自动化程度低、解译能力薄弱，缺乏统一的数据管理与服务平台，导致数据共享难、发布慢、应用深度不足。亟需建设集数据汇聚、高效处理、智能拓展、存储管理、共享发布与业务应用于一体的陕西省水利时空数据共享服务平台，打通从数据接入到标准化服务的全自动化业务链条，实现对水利遥感数据从“看得见”、“管得住”到“用得好”的全方位能力提升，为全省水利业务应用（如：防洪抗旱、水资源管理、河湖监管、水土保持及水利工程监测等）提供高效、稳定、自主可控的遥感服务保障。</w:t>
            </w:r>
          </w:p>
          <w:p>
            <w:pPr>
              <w:pStyle w:val="null3"/>
              <w:jc w:val="both"/>
            </w:pPr>
            <w:r>
              <w:rPr>
                <w:rFonts w:ascii="仿宋_GB2312" w:hAnsi="仿宋_GB2312" w:cs="仿宋_GB2312" w:eastAsia="仿宋_GB2312"/>
                <w:sz w:val="24"/>
                <w:b/>
              </w:rPr>
              <w:t>三、采购内容及要求</w:t>
            </w:r>
          </w:p>
          <w:p>
            <w:pPr>
              <w:pStyle w:val="null3"/>
              <w:ind w:firstLine="602"/>
              <w:jc w:val="both"/>
            </w:pPr>
            <w:r>
              <w:rPr>
                <w:rFonts w:ascii="仿宋_GB2312" w:hAnsi="仿宋_GB2312" w:cs="仿宋_GB2312" w:eastAsia="仿宋_GB2312"/>
                <w:sz w:val="24"/>
                <w:b/>
              </w:rPr>
              <w:t>采购内容</w:t>
            </w:r>
          </w:p>
          <w:p>
            <w:pPr>
              <w:pStyle w:val="null3"/>
              <w:ind w:firstLine="480"/>
              <w:jc w:val="both"/>
            </w:pPr>
            <w:r>
              <w:rPr>
                <w:rFonts w:ascii="仿宋_GB2312" w:hAnsi="仿宋_GB2312" w:cs="仿宋_GB2312" w:eastAsia="仿宋_GB2312"/>
                <w:sz w:val="24"/>
              </w:rPr>
              <w:t>为保障本次项目顺利实施和完成项目建设目标，保障基础环境升级、基础软件平台研发、遥感专业软件采购及业务应用落地，本项目拟采购以下内容：</w:t>
            </w:r>
          </w:p>
          <w:tbl>
            <w:tblPr>
              <w:tblBorders>
                <w:top w:val="none" w:color="000000" w:sz="4"/>
                <w:left w:val="none" w:color="000000" w:sz="4"/>
                <w:bottom w:val="none" w:color="000000" w:sz="4"/>
                <w:right w:val="none" w:color="000000" w:sz="4"/>
                <w:insideH w:val="none"/>
                <w:insideV w:val="none"/>
              </w:tblBorders>
            </w:tblPr>
            <w:tblGrid>
              <w:gridCol w:w="184"/>
              <w:gridCol w:w="368"/>
              <w:gridCol w:w="1105"/>
              <w:gridCol w:w="237"/>
              <w:gridCol w:w="237"/>
              <w:gridCol w:w="421"/>
            </w:tblGrid>
            <w:tr>
              <w:tc>
                <w:tcPr>
                  <w:tcW w:type="dxa" w:w="18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序号</w:t>
                  </w:r>
                </w:p>
              </w:tc>
              <w:tc>
                <w:tcPr>
                  <w:tcW w:type="dxa" w:w="1473"/>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项目名称</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单位</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数量</w:t>
                  </w: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是否为核心产品</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47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机房基础环境改造</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否</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47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网络环境建设</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是</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47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超融合平台及存储系统建设</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是</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遥感应用系统</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遥感影像数据推送系统</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是</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c>
                <w:tcPr>
                  <w:tcW w:type="dxa" w:w="368"/>
                  <w:vMerge/>
                  <w:tcBorders>
                    <w:top w:val="none" w:color="000000" w:sz="4"/>
                    <w:left w:val="none" w:color="000000" w:sz="4"/>
                    <w:bottom w:val="single" w:color="000000" w:sz="4"/>
                    <w:right w:val="single" w:color="000000" w:sz="4"/>
                  </w:tcBorders>
                </w:tcP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遥感影像数据治理系统</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是</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6</w:t>
                  </w:r>
                </w:p>
              </w:tc>
              <w:tc>
                <w:tcPr>
                  <w:tcW w:type="dxa" w:w="368"/>
                  <w:vMerge/>
                  <w:tcBorders>
                    <w:top w:val="none" w:color="000000" w:sz="4"/>
                    <w:left w:val="none" w:color="000000" w:sz="4"/>
                    <w:bottom w:val="single" w:color="000000" w:sz="4"/>
                    <w:right w:val="single" w:color="000000" w:sz="4"/>
                  </w:tcBorders>
                </w:tcP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遥感影像数据处理系统</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是</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7</w:t>
                  </w:r>
                </w:p>
              </w:tc>
              <w:tc>
                <w:tcPr>
                  <w:tcW w:type="dxa" w:w="368"/>
                  <w:vMerge/>
                  <w:tcBorders>
                    <w:top w:val="none" w:color="000000" w:sz="4"/>
                    <w:left w:val="none" w:color="000000" w:sz="4"/>
                    <w:bottom w:val="single" w:color="000000" w:sz="4"/>
                    <w:right w:val="single" w:color="000000" w:sz="4"/>
                  </w:tcBorders>
                </w:tcP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遥感影像数据服务系统</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是</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8</w:t>
                  </w:r>
                </w:p>
              </w:tc>
              <w:tc>
                <w:tcPr>
                  <w:tcW w:type="dxa" w:w="368"/>
                  <w:vMerge/>
                  <w:tcBorders>
                    <w:top w:val="none" w:color="000000" w:sz="4"/>
                    <w:left w:val="none" w:color="000000" w:sz="4"/>
                    <w:bottom w:val="single" w:color="000000" w:sz="4"/>
                    <w:right w:val="single" w:color="000000" w:sz="4"/>
                  </w:tcBorders>
                </w:tcP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时空数据管理系统</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是</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9</w:t>
                  </w:r>
                </w:p>
              </w:tc>
              <w:tc>
                <w:tcPr>
                  <w:tcW w:type="dxa" w:w="368"/>
                  <w:vMerge/>
                  <w:tcBorders>
                    <w:top w:val="none" w:color="000000" w:sz="4"/>
                    <w:left w:val="none" w:color="000000" w:sz="4"/>
                    <w:bottom w:val="single" w:color="000000" w:sz="4"/>
                    <w:right w:val="single" w:color="000000" w:sz="4"/>
                  </w:tcBorders>
                </w:tcP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时空数据服务发布系统</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是</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w:t>
                  </w:r>
                </w:p>
              </w:tc>
              <w:tc>
                <w:tcPr>
                  <w:tcW w:type="dxa" w:w="368"/>
                  <w:vMerge/>
                  <w:tcBorders>
                    <w:top w:val="none" w:color="000000" w:sz="4"/>
                    <w:left w:val="none" w:color="000000" w:sz="4"/>
                    <w:bottom w:val="single" w:color="000000" w:sz="4"/>
                    <w:right w:val="single" w:color="000000" w:sz="4"/>
                  </w:tcBorders>
                </w:tcP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时空数据综合服务系统</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是</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11</w:t>
                  </w:r>
                </w:p>
              </w:tc>
              <w:tc>
                <w:tcPr>
                  <w:tcW w:type="dxa" w:w="368"/>
                  <w:vMerge/>
                  <w:tcBorders>
                    <w:top w:val="none" w:color="000000" w:sz="4"/>
                    <w:left w:val="none" w:color="000000" w:sz="4"/>
                    <w:bottom w:val="single" w:color="000000" w:sz="4"/>
                    <w:right w:val="single" w:color="000000" w:sz="4"/>
                  </w:tcBorders>
                </w:tcP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应用拓展系统</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是</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12</w:t>
                  </w:r>
                </w:p>
              </w:tc>
              <w:tc>
                <w:tcPr>
                  <w:tcW w:type="dxa" w:w="368"/>
                  <w:vMerge/>
                  <w:tcBorders>
                    <w:top w:val="none" w:color="000000" w:sz="4"/>
                    <w:left w:val="none" w:color="000000" w:sz="4"/>
                    <w:bottom w:val="single" w:color="000000" w:sz="4"/>
                    <w:right w:val="single" w:color="000000" w:sz="4"/>
                  </w:tcBorders>
                </w:tcP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采购高分辨率一体化测图专业软件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节点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是</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13</w:t>
                  </w:r>
                </w:p>
              </w:tc>
              <w:tc>
                <w:tcPr>
                  <w:tcW w:type="dxa" w:w="368"/>
                  <w:vMerge/>
                  <w:tcBorders>
                    <w:top w:val="none" w:color="000000" w:sz="4"/>
                    <w:left w:val="none" w:color="000000" w:sz="4"/>
                    <w:bottom w:val="single" w:color="000000" w:sz="4"/>
                    <w:right w:val="single" w:color="000000" w:sz="4"/>
                  </w:tcBorders>
                </w:tcP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采购遥感影像镶嵌匀色专业软件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节点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是</w:t>
                  </w:r>
                </w:p>
              </w:tc>
            </w:tr>
          </w:tbl>
          <w:p>
            <w:pPr>
              <w:pStyle w:val="null3"/>
              <w:ind w:firstLine="602"/>
              <w:jc w:val="both"/>
            </w:pPr>
            <w:r>
              <w:rPr>
                <w:rFonts w:ascii="仿宋_GB2312" w:hAnsi="仿宋_GB2312" w:cs="仿宋_GB2312" w:eastAsia="仿宋_GB2312"/>
                <w:sz w:val="24"/>
                <w:b/>
              </w:rPr>
              <w:t>技术要求</w:t>
            </w:r>
          </w:p>
          <w:tbl>
            <w:tblPr>
              <w:tblBorders>
                <w:top w:val="none" w:color="000000" w:sz="4"/>
                <w:left w:val="none" w:color="000000" w:sz="4"/>
                <w:bottom w:val="none" w:color="000000" w:sz="4"/>
                <w:right w:val="none" w:color="000000" w:sz="4"/>
                <w:insideH w:val="none"/>
                <w:insideV w:val="none"/>
              </w:tblBorders>
            </w:tblPr>
            <w:tblGrid>
              <w:gridCol w:w="323"/>
              <w:gridCol w:w="531"/>
              <w:gridCol w:w="1702"/>
            </w:tblGrid>
            <w:tr>
              <w:tc>
                <w:tcPr>
                  <w:tcW w:type="dxa" w:w="32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序号</w:t>
                  </w:r>
                </w:p>
              </w:tc>
              <w:tc>
                <w:tcPr>
                  <w:tcW w:type="dxa" w:w="53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产品名称</w:t>
                  </w:r>
                </w:p>
              </w:tc>
              <w:tc>
                <w:tcPr>
                  <w:tcW w:type="dxa" w:w="170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技术参数</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1"/>
                    </w:numPr>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机房基础环境改造</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left"/>
                  </w:pPr>
                  <w:r>
                    <w:rPr>
                      <w:rFonts w:ascii="仿宋_GB2312" w:hAnsi="仿宋_GB2312" w:cs="仿宋_GB2312" w:eastAsia="仿宋_GB2312"/>
                      <w:sz w:val="24"/>
                    </w:rPr>
                    <w:t>机房分为值班室与主机房，其中值班室18㎡，主机房47㎡。</w:t>
                  </w:r>
                </w:p>
                <w:p>
                  <w:pPr>
                    <w:pStyle w:val="null3"/>
                    <w:ind w:firstLine="480"/>
                    <w:jc w:val="left"/>
                  </w:pPr>
                  <w:r>
                    <w:rPr>
                      <w:rFonts w:ascii="仿宋_GB2312" w:hAnsi="仿宋_GB2312" w:cs="仿宋_GB2312" w:eastAsia="仿宋_GB2312"/>
                      <w:sz w:val="24"/>
                    </w:rPr>
                    <w:t>总体要求：本次机房主要以绿色、节能、环保为主，机房内采用非燃烧材料或难燃、气密性好、不起尘、易清洁、不霉变，并在一定温度、湿度作用下变形小的材料，门禁和监控设备需具有商用密码检测认证中心颁发的《商用密码产品认证证书》</w:t>
                  </w:r>
                </w:p>
                <w:p>
                  <w:pPr>
                    <w:pStyle w:val="null3"/>
                    <w:ind w:firstLine="480"/>
                    <w:jc w:val="left"/>
                  </w:pPr>
                  <w:r>
                    <w:rPr>
                      <w:rFonts w:ascii="仿宋_GB2312" w:hAnsi="仿宋_GB2312" w:cs="仿宋_GB2312" w:eastAsia="仿宋_GB2312"/>
                      <w:sz w:val="24"/>
                    </w:rPr>
                    <w:t>本次工程机房建设涉及内容包括：</w:t>
                  </w:r>
                  <w:r>
                    <w:rPr>
                      <w:rFonts w:ascii="仿宋_GB2312" w:hAnsi="仿宋_GB2312" w:cs="仿宋_GB2312" w:eastAsia="仿宋_GB2312"/>
                      <w:sz w:val="24"/>
                    </w:rPr>
                    <w:t>机房改造部分、机房供配电系统、机房UPS系统、机房精密空调系统、机房机柜系统、机房集中视频安防图像采集系统等等。</w:t>
                  </w:r>
                </w:p>
                <w:p>
                  <w:pPr>
                    <w:pStyle w:val="null3"/>
                    <w:ind w:firstLine="480"/>
                    <w:jc w:val="left"/>
                  </w:pPr>
                  <w:r>
                    <w:rPr>
                      <w:rFonts w:ascii="仿宋_GB2312" w:hAnsi="仿宋_GB2312" w:cs="仿宋_GB2312" w:eastAsia="仿宋_GB2312"/>
                      <w:sz w:val="24"/>
                    </w:rPr>
                    <w:t>具体见3.2.1机房基础环境改造系统清单及技术要求。</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1"/>
                    </w:numPr>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网络环境建设</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left"/>
                  </w:pPr>
                  <w:r>
                    <w:rPr>
                      <w:rFonts w:ascii="仿宋_GB2312" w:hAnsi="仿宋_GB2312" w:cs="仿宋_GB2312" w:eastAsia="仿宋_GB2312"/>
                      <w:sz w:val="24"/>
                    </w:rPr>
                    <w:t>在陕西省水保监测中心机房内部部署一套高速、高性能网络，涉及网络安全设备及数据交换设备，另外通过租用50M专线链路，将水保中心和政府影像提供单位相关业务数据进行交换。为确保数据传输的安全性、与机密性，网络环境建设需满足三级等保及商用密码应用安全性评估（密评）三级要求：</w:t>
                  </w:r>
                </w:p>
                <w:p>
                  <w:pPr>
                    <w:pStyle w:val="null3"/>
                    <w:ind w:firstLine="480"/>
                    <w:jc w:val="left"/>
                  </w:pPr>
                  <w:r>
                    <w:rPr>
                      <w:rFonts w:ascii="仿宋_GB2312" w:hAnsi="仿宋_GB2312" w:cs="仿宋_GB2312" w:eastAsia="仿宋_GB2312"/>
                      <w:sz w:val="24"/>
                    </w:rPr>
                    <w:t>等保要求：</w:t>
                  </w:r>
                </w:p>
                <w:p>
                  <w:pPr>
                    <w:pStyle w:val="null3"/>
                    <w:ind w:firstLine="480"/>
                    <w:jc w:val="left"/>
                  </w:pPr>
                  <w:r>
                    <w:rPr>
                      <w:rFonts w:ascii="仿宋_GB2312" w:hAnsi="仿宋_GB2312" w:cs="仿宋_GB2312" w:eastAsia="仿宋_GB2312"/>
                      <w:sz w:val="24"/>
                    </w:rPr>
                    <w:t>按照《信息安全技术 网络安全等级保护基本要求》（GB/T 22239-2019），需开展信息安全等级保护测评，优化陕西省水保监测中心总体安全体系架构，完善安全域规划，并通过对防火墙、防病毒、入侵检测、漏洞扫描、日志审计等网络安全设备进行补充和完善，构建安全区域边界，建立用户身份鉴别、访问控制、安全审计于一体的安全计算环境，确保陕西省水保监测中心业务运行的物理安全、网络安全、应用安全、数据安全。</w:t>
                  </w:r>
                </w:p>
                <w:p>
                  <w:pPr>
                    <w:pStyle w:val="null3"/>
                    <w:ind w:firstLine="480"/>
                    <w:jc w:val="left"/>
                  </w:pPr>
                  <w:r>
                    <w:rPr>
                      <w:rFonts w:ascii="仿宋_GB2312" w:hAnsi="仿宋_GB2312" w:cs="仿宋_GB2312" w:eastAsia="仿宋_GB2312"/>
                      <w:sz w:val="24"/>
                    </w:rPr>
                    <w:t>密评要求：</w:t>
                  </w:r>
                </w:p>
                <w:p>
                  <w:pPr>
                    <w:pStyle w:val="null3"/>
                    <w:ind w:firstLine="480"/>
                    <w:jc w:val="left"/>
                  </w:pPr>
                  <w:r>
                    <w:rPr>
                      <w:rFonts w:ascii="仿宋_GB2312" w:hAnsi="仿宋_GB2312" w:cs="仿宋_GB2312" w:eastAsia="仿宋_GB2312"/>
                      <w:sz w:val="24"/>
                    </w:rPr>
                    <w:t>按照《信息系统密码应用基本要求》（GM/T0054-2018），需开展商用密码应用安全性评估工作，主要包括合规性检查、技术有效性验证、密钥全周期管理、密码产品审查、安全管理体建设、攻防测试及风险整改，并根据密评的情况，对密码机、堡垒机、门禁系统、视频监控等相关设备进行补充和完善，全面提升陕西省水保监测中心密码安全保障支撑能力。</w:t>
                  </w:r>
                </w:p>
                <w:p>
                  <w:pPr>
                    <w:pStyle w:val="null3"/>
                    <w:spacing w:after="120"/>
                    <w:jc w:val="both"/>
                  </w:pPr>
                  <w:r>
                    <w:rPr>
                      <w:rFonts w:ascii="仿宋_GB2312" w:hAnsi="仿宋_GB2312" w:cs="仿宋_GB2312" w:eastAsia="仿宋_GB2312"/>
                      <w:sz w:val="24"/>
                    </w:rPr>
                    <w:t>具体见3.2.2网络环境建设设备清单及技术要求</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1"/>
                    </w:numPr>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超融合平台及存储系统建设</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left"/>
                  </w:pPr>
                  <w:r>
                    <w:rPr>
                      <w:rFonts w:ascii="仿宋_GB2312" w:hAnsi="仿宋_GB2312" w:cs="仿宋_GB2312" w:eastAsia="仿宋_GB2312"/>
                      <w:sz w:val="24"/>
                    </w:rPr>
                    <w:t>通过建设一套稳定、可靠、高性能、易管理的超融合云平台以及存储系统，以满足遥感影像数据的存储、管理、处理、共享、服务及应用需求。具体见3.2.3超融合平台及存储系统建设设备清单及技术要求。</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1"/>
                    </w:numPr>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遥感影像数据推送系统</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numPr>
                      <w:ilvl w:val="0"/>
                      <w:numId w:val="1"/>
                    </w:numPr>
                    <w:jc w:val="left"/>
                  </w:pPr>
                  <w:r>
                    <w:rPr>
                      <w:rFonts w:ascii="仿宋_GB2312" w:hAnsi="仿宋_GB2312" w:cs="仿宋_GB2312" w:eastAsia="仿宋_GB2312"/>
                      <w:sz w:val="24"/>
                    </w:rPr>
                    <w:t>遥感影像推送服务端</w:t>
                  </w:r>
                </w:p>
                <w:p>
                  <w:pPr>
                    <w:pStyle w:val="null3"/>
                    <w:jc w:val="left"/>
                  </w:pPr>
                  <w:r>
                    <w:rPr>
                      <w:rFonts w:ascii="仿宋_GB2312" w:hAnsi="仿宋_GB2312" w:cs="仿宋_GB2312" w:eastAsia="仿宋_GB2312"/>
                      <w:sz w:val="24"/>
                    </w:rPr>
                    <w:t>认证管理：提供节点注册、节点身份识别、访问凭证校验、连接状态管理和认证结果反馈等功能；</w:t>
                  </w:r>
                </w:p>
                <w:p>
                  <w:pPr>
                    <w:pStyle w:val="null3"/>
                    <w:jc w:val="left"/>
                  </w:pPr>
                  <w:r>
                    <w:rPr>
                      <w:rFonts w:ascii="仿宋_GB2312" w:hAnsi="仿宋_GB2312" w:cs="仿宋_GB2312" w:eastAsia="仿宋_GB2312"/>
                      <w:sz w:val="24"/>
                    </w:rPr>
                    <w:t>任务管理：提供根据预设规则、节点配置和推送范围自动生成推送任务，支持按时间、区域、数据类型、专题类别、批次等维度进行任务组织，并对任务状态进行统一调度和管理；</w:t>
                  </w:r>
                </w:p>
                <w:p>
                  <w:pPr>
                    <w:pStyle w:val="null3"/>
                    <w:jc w:val="left"/>
                  </w:pPr>
                  <w:r>
                    <w:rPr>
                      <w:rFonts w:ascii="仿宋_GB2312" w:hAnsi="仿宋_GB2312" w:cs="仿宋_GB2312" w:eastAsia="仿宋_GB2312"/>
                      <w:sz w:val="24"/>
                    </w:rPr>
                    <w:t>数据推送：支持对待推送的遥感影像数据进行整理、校验、封装和下发控制；</w:t>
                  </w:r>
                </w:p>
                <w:p>
                  <w:pPr>
                    <w:pStyle w:val="null3"/>
                    <w:jc w:val="left"/>
                  </w:pPr>
                  <w:r>
                    <w:rPr>
                      <w:rFonts w:ascii="仿宋_GB2312" w:hAnsi="仿宋_GB2312" w:cs="仿宋_GB2312" w:eastAsia="仿宋_GB2312"/>
                      <w:sz w:val="24"/>
                    </w:rPr>
                    <w:t>任务监控：提供对推送任务执行情况、接口调用情况、节点连接状态、数据推送进度、失败原因和异常告警进行统一监测和记录，并支持日志分类存储、运行状态查看、关键事件审计、失败任务告警和统计分析；</w:t>
                  </w:r>
                </w:p>
                <w:p>
                  <w:pPr>
                    <w:pStyle w:val="null3"/>
                    <w:jc w:val="left"/>
                  </w:pPr>
                  <w:r>
                    <w:rPr>
                      <w:rFonts w:ascii="仿宋_GB2312" w:hAnsi="仿宋_GB2312" w:cs="仿宋_GB2312" w:eastAsia="仿宋_GB2312"/>
                      <w:sz w:val="24"/>
                    </w:rPr>
                    <w:t>系统设置：支持对推送线程、任务队列、传输参数、日志级别和超时策略进行配置。</w:t>
                  </w:r>
                </w:p>
                <w:p>
                  <w:pPr>
                    <w:pStyle w:val="null3"/>
                    <w:numPr>
                      <w:ilvl w:val="0"/>
                      <w:numId w:val="1"/>
                    </w:numPr>
                    <w:jc w:val="left"/>
                  </w:pPr>
                  <w:r>
                    <w:rPr>
                      <w:rFonts w:ascii="仿宋_GB2312" w:hAnsi="仿宋_GB2312" w:cs="仿宋_GB2312" w:eastAsia="仿宋_GB2312"/>
                      <w:sz w:val="24"/>
                    </w:rPr>
                    <w:t>遥感影像推送客户端</w:t>
                  </w:r>
                </w:p>
                <w:p>
                  <w:pPr>
                    <w:pStyle w:val="null3"/>
                    <w:jc w:val="left"/>
                  </w:pPr>
                  <w:r>
                    <w:rPr>
                      <w:rFonts w:ascii="仿宋_GB2312" w:hAnsi="仿宋_GB2312" w:cs="仿宋_GB2312" w:eastAsia="仿宋_GB2312"/>
                      <w:sz w:val="24"/>
                    </w:rPr>
                    <w:t>用户登录：提供用户登录功能；</w:t>
                  </w:r>
                </w:p>
                <w:p>
                  <w:pPr>
                    <w:pStyle w:val="null3"/>
                    <w:jc w:val="left"/>
                  </w:pPr>
                  <w:r>
                    <w:rPr>
                      <w:rFonts w:ascii="仿宋_GB2312" w:hAnsi="仿宋_GB2312" w:cs="仿宋_GB2312" w:eastAsia="仿宋_GB2312"/>
                      <w:sz w:val="24"/>
                    </w:rPr>
                    <w:t>任务查询：提供获取权限范围的数据推送任务功能；</w:t>
                  </w:r>
                </w:p>
                <w:p>
                  <w:pPr>
                    <w:pStyle w:val="null3"/>
                    <w:jc w:val="left"/>
                  </w:pPr>
                  <w:r>
                    <w:rPr>
                      <w:rFonts w:ascii="仿宋_GB2312" w:hAnsi="仿宋_GB2312" w:cs="仿宋_GB2312" w:eastAsia="仿宋_GB2312"/>
                      <w:sz w:val="24"/>
                    </w:rPr>
                    <w:t>数据接收：提供数据下载、断点续传、完整性校验、失败重试和接收状态展示等功能；</w:t>
                  </w:r>
                </w:p>
                <w:p>
                  <w:pPr>
                    <w:pStyle w:val="null3"/>
                    <w:jc w:val="left"/>
                  </w:pPr>
                  <w:r>
                    <w:rPr>
                      <w:rFonts w:ascii="仿宋_GB2312" w:hAnsi="仿宋_GB2312" w:cs="仿宋_GB2312" w:eastAsia="仿宋_GB2312"/>
                      <w:sz w:val="24"/>
                    </w:rPr>
                    <w:t>历史数据申请：提供历史数据下载申请功能；</w:t>
                  </w:r>
                </w:p>
                <w:p>
                  <w:pPr>
                    <w:pStyle w:val="null3"/>
                    <w:jc w:val="left"/>
                  </w:pPr>
                  <w:r>
                    <w:rPr>
                      <w:rFonts w:ascii="仿宋_GB2312" w:hAnsi="仿宋_GB2312" w:cs="仿宋_GB2312" w:eastAsia="仿宋_GB2312"/>
                      <w:sz w:val="24"/>
                    </w:rPr>
                    <w:t>系统设置：提供服务端地址、接收路径、断点续传参数、自动接收开关及超时参数等配置功能。</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1"/>
                    </w:numPr>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遥感影像数据治理系统</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numPr>
                      <w:ilvl w:val="0"/>
                      <w:numId w:val="1"/>
                    </w:numPr>
                    <w:jc w:val="both"/>
                  </w:pPr>
                  <w:r>
                    <w:rPr>
                      <w:rFonts w:ascii="仿宋_GB2312" w:hAnsi="仿宋_GB2312" w:cs="仿宋_GB2312" w:eastAsia="仿宋_GB2312"/>
                      <w:sz w:val="24"/>
                    </w:rPr>
                    <w:t>★</w:t>
                  </w:r>
                  <w:r>
                    <w:rPr>
                      <w:rFonts w:ascii="仿宋_GB2312" w:hAnsi="仿宋_GB2312" w:cs="仿宋_GB2312" w:eastAsia="仿宋_GB2312"/>
                      <w:sz w:val="24"/>
                    </w:rPr>
                    <w:t>元数据规范管理：提供平台统一的元数据规范管理，消除不同来源数据之间的差异；</w:t>
                  </w:r>
                </w:p>
                <w:p>
                  <w:pPr>
                    <w:pStyle w:val="null3"/>
                    <w:numPr>
                      <w:ilvl w:val="0"/>
                      <w:numId w:val="1"/>
                    </w:numPr>
                    <w:jc w:val="both"/>
                  </w:pPr>
                  <w:r>
                    <w:rPr>
                      <w:rFonts w:ascii="仿宋_GB2312" w:hAnsi="仿宋_GB2312" w:cs="仿宋_GB2312" w:eastAsia="仿宋_GB2312"/>
                      <w:sz w:val="24"/>
                    </w:rPr>
                    <w:t>数据来源管理：提供对各类数据通道的统一注册与配置管理，实现多源数据的“同化”处理；</w:t>
                  </w:r>
                </w:p>
                <w:p>
                  <w:pPr>
                    <w:pStyle w:val="null3"/>
                    <w:numPr>
                      <w:ilvl w:val="0"/>
                      <w:numId w:val="1"/>
                    </w:numPr>
                    <w:jc w:val="both"/>
                  </w:pPr>
                  <w:r>
                    <w:rPr>
                      <w:rFonts w:ascii="仿宋_GB2312" w:hAnsi="仿宋_GB2312" w:cs="仿宋_GB2312" w:eastAsia="仿宋_GB2312"/>
                      <w:sz w:val="24"/>
                    </w:rPr>
                    <w:t>数据入库：提供元数据自动解析、规范化转换及自动化入库功能。</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1"/>
                    </w:numPr>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遥感影像数据处理系统</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numPr>
                      <w:ilvl w:val="0"/>
                      <w:numId w:val="1"/>
                    </w:numPr>
                    <w:jc w:val="both"/>
                  </w:pPr>
                  <w:r>
                    <w:rPr>
                      <w:rFonts w:ascii="仿宋_GB2312" w:hAnsi="仿宋_GB2312" w:cs="仿宋_GB2312" w:eastAsia="仿宋_GB2312"/>
                      <w:sz w:val="24"/>
                    </w:rPr>
                    <w:t>★</w:t>
                  </w:r>
                  <w:r>
                    <w:rPr>
                      <w:rFonts w:ascii="仿宋_GB2312" w:hAnsi="仿宋_GB2312" w:cs="仿宋_GB2312" w:eastAsia="仿宋_GB2312"/>
                      <w:sz w:val="24"/>
                    </w:rPr>
                    <w:t>正射校正：提供基于原始影像自带的RPC参数与开源30米DEM数据，生成数字正射影像（DOM）；</w:t>
                  </w:r>
                </w:p>
                <w:p>
                  <w:pPr>
                    <w:pStyle w:val="null3"/>
                    <w:numPr>
                      <w:ilvl w:val="0"/>
                      <w:numId w:val="1"/>
                    </w:numPr>
                    <w:jc w:val="both"/>
                  </w:pPr>
                  <w:r>
                    <w:rPr>
                      <w:rFonts w:ascii="仿宋_GB2312" w:hAnsi="仿宋_GB2312" w:cs="仿宋_GB2312" w:eastAsia="仿宋_GB2312"/>
                      <w:sz w:val="24"/>
                    </w:rPr>
                    <w:t>★</w:t>
                  </w:r>
                  <w:r>
                    <w:rPr>
                      <w:rFonts w:ascii="仿宋_GB2312" w:hAnsi="仿宋_GB2312" w:cs="仿宋_GB2312" w:eastAsia="仿宋_GB2312"/>
                      <w:sz w:val="24"/>
                    </w:rPr>
                    <w:t>影像融合：提供对光学影像的全色和多光谱影像，生成兼具高空间分辨率和高光谱分辨率的产品；</w:t>
                  </w:r>
                </w:p>
                <w:p>
                  <w:pPr>
                    <w:pStyle w:val="null3"/>
                    <w:numPr>
                      <w:ilvl w:val="0"/>
                      <w:numId w:val="1"/>
                    </w:numPr>
                    <w:jc w:val="both"/>
                  </w:pPr>
                  <w:r>
                    <w:rPr>
                      <w:rFonts w:ascii="仿宋_GB2312" w:hAnsi="仿宋_GB2312" w:cs="仿宋_GB2312" w:eastAsia="仿宋_GB2312"/>
                      <w:sz w:val="24"/>
                    </w:rPr>
                    <w:t>影像转换：提供影像格式与坐标系统转换功能；</w:t>
                  </w:r>
                </w:p>
                <w:p>
                  <w:pPr>
                    <w:pStyle w:val="null3"/>
                    <w:numPr>
                      <w:ilvl w:val="0"/>
                      <w:numId w:val="1"/>
                    </w:numPr>
                    <w:jc w:val="both"/>
                  </w:pPr>
                  <w:r>
                    <w:rPr>
                      <w:rFonts w:ascii="仿宋_GB2312" w:hAnsi="仿宋_GB2312" w:cs="仿宋_GB2312" w:eastAsia="仿宋_GB2312"/>
                      <w:sz w:val="24"/>
                    </w:rPr>
                    <w:t>★</w:t>
                  </w:r>
                  <w:r>
                    <w:rPr>
                      <w:rFonts w:ascii="仿宋_GB2312" w:hAnsi="仿宋_GB2312" w:cs="仿宋_GB2312" w:eastAsia="仿宋_GB2312"/>
                      <w:sz w:val="24"/>
                    </w:rPr>
                    <w:t>图像增强：至少提供百分比截断（PercentClip）拉伸、最小值-最大值拉伸、直方图均衡化等算法，提升影像的可视化效果。</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1"/>
                    </w:numPr>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遥感影像数据服务系统</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、信息概览：系统的综合门户页面，集中展示最新影像服务动态、系统通知公告、数据资源概况及数据申请使用流程指南等信息；</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影像检索：提供基于空间范围与属性条件的多维度组合查询功能，支持用户根据实际需求快速定位和获取目标遥感影像数据；</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、数据统计：提供对遥感影像数据资源的多维度统计分析与可视化展示功能；</w:t>
                  </w:r>
                </w:p>
                <w:p>
                  <w:pPr>
                    <w:pStyle w:val="null3"/>
                    <w:numPr>
                      <w:ilvl w:val="0"/>
                      <w:numId w:val="1"/>
                    </w:numPr>
                    <w:jc w:val="both"/>
                  </w:pPr>
                  <w:r>
                    <w:rPr>
                      <w:rFonts w:ascii="仿宋_GB2312" w:hAnsi="仿宋_GB2312" w:cs="仿宋_GB2312" w:eastAsia="仿宋_GB2312"/>
                      <w:sz w:val="24"/>
                    </w:rPr>
                    <w:t>★</w:t>
                  </w:r>
                  <w:r>
                    <w:rPr>
                      <w:rFonts w:ascii="仿宋_GB2312" w:hAnsi="仿宋_GB2312" w:cs="仿宋_GB2312" w:eastAsia="仿宋_GB2312"/>
                      <w:sz w:val="24"/>
                    </w:rPr>
                    <w:t>轨道预测：基于三维引擎，对未来一定时期内卫星的运行轨迹、过境时间及拍摄覆盖范围进行精确预报；</w:t>
                  </w:r>
                </w:p>
                <w:p>
                  <w:pPr>
                    <w:pStyle w:val="null3"/>
                    <w:numPr>
                      <w:ilvl w:val="0"/>
                      <w:numId w:val="1"/>
                    </w:numPr>
                    <w:jc w:val="both"/>
                  </w:pPr>
                  <w:r>
                    <w:rPr>
                      <w:rFonts w:ascii="仿宋_GB2312" w:hAnsi="仿宋_GB2312" w:cs="仿宋_GB2312" w:eastAsia="仿宋_GB2312"/>
                      <w:sz w:val="24"/>
                    </w:rPr>
                    <w:t>更新日志：提供遥感影像数据的更新情况，包括当天更新遥感影像的详细信息，具体到卫星及覆盖的空间范围；</w:t>
                  </w:r>
                </w:p>
                <w:p>
                  <w:pPr>
                    <w:pStyle w:val="null3"/>
                    <w:numPr>
                      <w:ilvl w:val="0"/>
                      <w:numId w:val="1"/>
                    </w:numPr>
                    <w:jc w:val="both"/>
                  </w:pPr>
                  <w:r>
                    <w:rPr>
                      <w:rFonts w:ascii="仿宋_GB2312" w:hAnsi="仿宋_GB2312" w:cs="仿宋_GB2312" w:eastAsia="仿宋_GB2312"/>
                      <w:sz w:val="24"/>
                    </w:rPr>
                    <w:t>卫星动态：提供常见卫星的基本信息，包括卫星的轨道参数、传感器参数等；</w:t>
                  </w:r>
                </w:p>
                <w:p>
                  <w:pPr>
                    <w:pStyle w:val="null3"/>
                    <w:numPr>
                      <w:ilvl w:val="0"/>
                      <w:numId w:val="1"/>
                    </w:numPr>
                    <w:jc w:val="both"/>
                  </w:pPr>
                  <w:r>
                    <w:rPr>
                      <w:rFonts w:ascii="仿宋_GB2312" w:hAnsi="仿宋_GB2312" w:cs="仿宋_GB2312" w:eastAsia="仿宋_GB2312"/>
                      <w:sz w:val="24"/>
                    </w:rPr>
                    <w:t>用户中心：提供账户管理、申请列表、我的订单、订单管理、用户管理、推送范围管理及推送统计功能。</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1"/>
                    </w:numPr>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时空数据管理系统</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numPr>
                      <w:ilvl w:val="0"/>
                      <w:numId w:val="1"/>
                    </w:numPr>
                    <w:jc w:val="both"/>
                  </w:pPr>
                  <w:r>
                    <w:rPr>
                      <w:rFonts w:ascii="仿宋_GB2312" w:hAnsi="仿宋_GB2312" w:cs="仿宋_GB2312" w:eastAsia="仿宋_GB2312"/>
                      <w:sz w:val="24"/>
                    </w:rPr>
                    <w:t>地图工程：提供地理空间数据的加载接入与工程文件的组织管理功能；</w:t>
                  </w:r>
                </w:p>
                <w:p>
                  <w:pPr>
                    <w:pStyle w:val="null3"/>
                    <w:numPr>
                      <w:ilvl w:val="0"/>
                      <w:numId w:val="1"/>
                    </w:numPr>
                    <w:jc w:val="both"/>
                  </w:pPr>
                  <w:r>
                    <w:rPr>
                      <w:rFonts w:ascii="仿宋_GB2312" w:hAnsi="仿宋_GB2312" w:cs="仿宋_GB2312" w:eastAsia="仿宋_GB2312"/>
                      <w:sz w:val="24"/>
                    </w:rPr>
                    <w:t>地图可视化：由视图管理与图层管理两部分构成。视图管理提供全图显示、地图平移、逐级缩放、放大至选择集、视图历史回溯与前进、按固定比例尺缩放等视图控制功能；图层管理提供放大至图层范围、图层删除与重命名、图层叠放顺序调整（移至顶层或底层）、图层导出、注记要素配置、符号化渲染及属性表查看等核心功能；</w:t>
                  </w:r>
                </w:p>
                <w:p>
                  <w:pPr>
                    <w:pStyle w:val="null3"/>
                    <w:numPr>
                      <w:ilvl w:val="0"/>
                      <w:numId w:val="1"/>
                    </w:numPr>
                    <w:jc w:val="both"/>
                  </w:pPr>
                  <w:r>
                    <w:rPr>
                      <w:rFonts w:ascii="仿宋_GB2312" w:hAnsi="仿宋_GB2312" w:cs="仿宋_GB2312" w:eastAsia="仿宋_GB2312"/>
                      <w:sz w:val="24"/>
                    </w:rPr>
                    <w:t>★</w:t>
                  </w:r>
                  <w:r>
                    <w:rPr>
                      <w:rFonts w:ascii="仿宋_GB2312" w:hAnsi="仿宋_GB2312" w:cs="仿宋_GB2312" w:eastAsia="仿宋_GB2312"/>
                      <w:sz w:val="24"/>
                    </w:rPr>
                    <w:t>影像管理：由原始影像管理与成果影像管理两部分构成。原始影像管理支持原始影像数据的标准化入库、多条件查询浏览、综合检索及数据下载功能；成果影像管理支持成果影像数据的标准化入库、多条件查询浏览、综合检索及数据下载功能；</w:t>
                  </w:r>
                </w:p>
                <w:p>
                  <w:pPr>
                    <w:pStyle w:val="null3"/>
                    <w:numPr>
                      <w:ilvl w:val="0"/>
                      <w:numId w:val="1"/>
                    </w:numPr>
                    <w:jc w:val="both"/>
                  </w:pPr>
                  <w:r>
                    <w:rPr>
                      <w:rFonts w:ascii="仿宋_GB2312" w:hAnsi="仿宋_GB2312" w:cs="仿宋_GB2312" w:eastAsia="仿宋_GB2312"/>
                      <w:sz w:val="24"/>
                    </w:rPr>
                    <w:t>★</w:t>
                  </w:r>
                  <w:r>
                    <w:rPr>
                      <w:rFonts w:ascii="仿宋_GB2312" w:hAnsi="仿宋_GB2312" w:cs="仿宋_GB2312" w:eastAsia="仿宋_GB2312"/>
                      <w:sz w:val="24"/>
                    </w:rPr>
                    <w:t>矢量管理：提供矢量数据成果的统一管理与元数据规范化治理；</w:t>
                  </w:r>
                </w:p>
                <w:p>
                  <w:pPr>
                    <w:pStyle w:val="null3"/>
                    <w:numPr>
                      <w:ilvl w:val="0"/>
                      <w:numId w:val="1"/>
                    </w:numPr>
                    <w:jc w:val="both"/>
                  </w:pPr>
                  <w:r>
                    <w:rPr>
                      <w:rFonts w:ascii="仿宋_GB2312" w:hAnsi="仿宋_GB2312" w:cs="仿宋_GB2312" w:eastAsia="仿宋_GB2312"/>
                      <w:sz w:val="24"/>
                    </w:rPr>
                    <w:t>★</w:t>
                  </w:r>
                  <w:r>
                    <w:rPr>
                      <w:rFonts w:ascii="仿宋_GB2312" w:hAnsi="仿宋_GB2312" w:cs="仿宋_GB2312" w:eastAsia="仿宋_GB2312"/>
                      <w:sz w:val="24"/>
                    </w:rPr>
                    <w:t>数据查询：提供对原始遥感影像数据、粗纠正产品、正射产品、专题成果及矢量数据的多维度可视化浏览与综合查询统计功能；</w:t>
                  </w:r>
                </w:p>
                <w:p>
                  <w:pPr>
                    <w:pStyle w:val="null3"/>
                    <w:numPr>
                      <w:ilvl w:val="0"/>
                      <w:numId w:val="1"/>
                    </w:numPr>
                    <w:jc w:val="both"/>
                  </w:pPr>
                  <w:r>
                    <w:rPr>
                      <w:rFonts w:ascii="仿宋_GB2312" w:hAnsi="仿宋_GB2312" w:cs="仿宋_GB2312" w:eastAsia="仿宋_GB2312"/>
                      <w:sz w:val="24"/>
                    </w:rPr>
                    <w:t>系统维护：为管理员提供系统运行保障与基础配置管理功能，确保系统长期稳定运行与数据安全可控。</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1"/>
                    </w:numPr>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时空数据服务发布系统</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numPr>
                      <w:ilvl w:val="0"/>
                      <w:numId w:val="1"/>
                    </w:numPr>
                    <w:jc w:val="both"/>
                  </w:pPr>
                  <w:r>
                    <w:rPr>
                      <w:rFonts w:ascii="仿宋_GB2312" w:hAnsi="仿宋_GB2312" w:cs="仿宋_GB2312" w:eastAsia="仿宋_GB2312"/>
                      <w:sz w:val="24"/>
                    </w:rPr>
                    <w:t>服务发布引擎：支持矢量及遥感影像数据的动态服务、瓦片服务发布；</w:t>
                  </w:r>
                </w:p>
                <w:p>
                  <w:pPr>
                    <w:pStyle w:val="null3"/>
                    <w:numPr>
                      <w:ilvl w:val="0"/>
                      <w:numId w:val="1"/>
                    </w:numPr>
                    <w:jc w:val="both"/>
                  </w:pPr>
                  <w:r>
                    <w:rPr>
                      <w:rFonts w:ascii="仿宋_GB2312" w:hAnsi="仿宋_GB2312" w:cs="仿宋_GB2312" w:eastAsia="仿宋_GB2312"/>
                      <w:sz w:val="24"/>
                    </w:rPr>
                    <w:t>系统首页：展示地图服务数量统计、地图服务累计调用次数统计、服务器运行状态实时监控等关键指标信息；</w:t>
                  </w:r>
                </w:p>
                <w:p>
                  <w:pPr>
                    <w:pStyle w:val="null3"/>
                    <w:numPr>
                      <w:ilvl w:val="0"/>
                      <w:numId w:val="1"/>
                    </w:numPr>
                    <w:jc w:val="both"/>
                  </w:pPr>
                  <w:r>
                    <w:rPr>
                      <w:rFonts w:ascii="仿宋_GB2312" w:hAnsi="仿宋_GB2312" w:cs="仿宋_GB2312" w:eastAsia="仿宋_GB2312"/>
                      <w:sz w:val="24"/>
                    </w:rPr>
                    <w:t>数据源管理：支持数据源的添加、编辑、查询及删除操作；</w:t>
                  </w:r>
                </w:p>
                <w:p>
                  <w:pPr>
                    <w:pStyle w:val="null3"/>
                    <w:numPr>
                      <w:ilvl w:val="0"/>
                      <w:numId w:val="1"/>
                    </w:numPr>
                    <w:jc w:val="both"/>
                  </w:pPr>
                  <w:r>
                    <w:rPr>
                      <w:rFonts w:ascii="仿宋_GB2312" w:hAnsi="仿宋_GB2312" w:cs="仿宋_GB2312" w:eastAsia="仿宋_GB2312"/>
                      <w:sz w:val="24"/>
                    </w:rPr>
                    <w:t>数据查询：提供矢量图层与遥感影像两类数据的快速检索功能；</w:t>
                  </w:r>
                </w:p>
                <w:p>
                  <w:pPr>
                    <w:pStyle w:val="null3"/>
                    <w:numPr>
                      <w:ilvl w:val="0"/>
                      <w:numId w:val="1"/>
                    </w:numPr>
                    <w:jc w:val="both"/>
                  </w:pPr>
                  <w:r>
                    <w:rPr>
                      <w:rFonts w:ascii="仿宋_GB2312" w:hAnsi="仿宋_GB2312" w:cs="仿宋_GB2312" w:eastAsia="仿宋_GB2312"/>
                      <w:sz w:val="24"/>
                    </w:rPr>
                    <w:t>★</w:t>
                  </w:r>
                  <w:r>
                    <w:rPr>
                      <w:rFonts w:ascii="仿宋_GB2312" w:hAnsi="仿宋_GB2312" w:cs="仿宋_GB2312" w:eastAsia="仿宋_GB2312"/>
                      <w:sz w:val="24"/>
                    </w:rPr>
                    <w:t>服务发布：基于服务发布引擎，将查询选定的矢量数据或遥感影像数据一键发布为地图服务；</w:t>
                  </w:r>
                </w:p>
                <w:p>
                  <w:pPr>
                    <w:pStyle w:val="null3"/>
                    <w:numPr>
                      <w:ilvl w:val="0"/>
                      <w:numId w:val="1"/>
                    </w:numPr>
                    <w:jc w:val="both"/>
                  </w:pPr>
                  <w:r>
                    <w:rPr>
                      <w:rFonts w:ascii="仿宋_GB2312" w:hAnsi="仿宋_GB2312" w:cs="仿宋_GB2312" w:eastAsia="仿宋_GB2312"/>
                      <w:sz w:val="24"/>
                    </w:rPr>
                    <w:t>服务管理：提供对已发布地图服务的管理功能，包括：服务查询、服务预览、服务详情、服务审批及服务删除等功能；</w:t>
                  </w:r>
                </w:p>
                <w:p>
                  <w:pPr>
                    <w:pStyle w:val="null3"/>
                    <w:numPr>
                      <w:ilvl w:val="0"/>
                      <w:numId w:val="1"/>
                    </w:numPr>
                    <w:jc w:val="both"/>
                  </w:pPr>
                  <w:r>
                    <w:rPr>
                      <w:rFonts w:ascii="仿宋_GB2312" w:hAnsi="仿宋_GB2312" w:cs="仿宋_GB2312" w:eastAsia="仿宋_GB2312"/>
                      <w:sz w:val="24"/>
                    </w:rPr>
                    <w:t>运维管理：提供系统运行维护与用户权限管控的综合性管理功能。</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1"/>
                    </w:numPr>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时空数据综合服务系统</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numPr>
                      <w:ilvl w:val="0"/>
                      <w:numId w:val="1"/>
                    </w:numPr>
                    <w:jc w:val="both"/>
                  </w:pPr>
                  <w:r>
                    <w:rPr>
                      <w:rFonts w:ascii="仿宋_GB2312" w:hAnsi="仿宋_GB2312" w:cs="仿宋_GB2312" w:eastAsia="仿宋_GB2312"/>
                      <w:sz w:val="24"/>
                    </w:rPr>
                    <w:t>系统首页：通过多维度核心统计指标的可视化呈现与交互展示；</w:t>
                  </w:r>
                </w:p>
                <w:p>
                  <w:pPr>
                    <w:pStyle w:val="null3"/>
                    <w:numPr>
                      <w:ilvl w:val="0"/>
                      <w:numId w:val="1"/>
                    </w:numPr>
                    <w:jc w:val="both"/>
                  </w:pPr>
                  <w:r>
                    <w:rPr>
                      <w:rFonts w:ascii="仿宋_GB2312" w:hAnsi="仿宋_GB2312" w:cs="仿宋_GB2312" w:eastAsia="仿宋_GB2312"/>
                      <w:sz w:val="24"/>
                    </w:rPr>
                    <w:t>数据展示：提供平台已发布地图服务及外部配置服务的统一可视化浏览与交互操作功能；</w:t>
                  </w:r>
                </w:p>
                <w:p>
                  <w:pPr>
                    <w:pStyle w:val="null3"/>
                    <w:numPr>
                      <w:ilvl w:val="0"/>
                      <w:numId w:val="1"/>
                    </w:numPr>
                    <w:jc w:val="both"/>
                  </w:pPr>
                  <w:r>
                    <w:rPr>
                      <w:rFonts w:ascii="仿宋_GB2312" w:hAnsi="仿宋_GB2312" w:cs="仿宋_GB2312" w:eastAsia="仿宋_GB2312"/>
                      <w:sz w:val="24"/>
                    </w:rPr>
                    <w:t>成果目录：以结构化表格形式，展示生产的遥感影像成果数据清单；</w:t>
                  </w:r>
                </w:p>
                <w:p>
                  <w:pPr>
                    <w:pStyle w:val="null3"/>
                    <w:numPr>
                      <w:ilvl w:val="0"/>
                      <w:numId w:val="1"/>
                    </w:numPr>
                    <w:jc w:val="both"/>
                  </w:pPr>
                  <w:r>
                    <w:rPr>
                      <w:rFonts w:ascii="仿宋_GB2312" w:hAnsi="仿宋_GB2312" w:cs="仿宋_GB2312" w:eastAsia="仿宋_GB2312"/>
                      <w:sz w:val="24"/>
                    </w:rPr>
                    <w:t>典型应用：将围绕遥感影像生产、应用及探索研究的相关成果进行分类展示；</w:t>
                  </w:r>
                </w:p>
                <w:p>
                  <w:pPr>
                    <w:pStyle w:val="null3"/>
                    <w:numPr>
                      <w:ilvl w:val="0"/>
                      <w:numId w:val="1"/>
                    </w:numPr>
                    <w:jc w:val="both"/>
                  </w:pPr>
                  <w:r>
                    <w:rPr>
                      <w:rFonts w:ascii="仿宋_GB2312" w:hAnsi="仿宋_GB2312" w:cs="仿宋_GB2312" w:eastAsia="仿宋_GB2312"/>
                      <w:sz w:val="24"/>
                    </w:rPr>
                    <w:t>服务资源：提供地图服务集中展示与统一申请门户；</w:t>
                  </w:r>
                </w:p>
                <w:p>
                  <w:pPr>
                    <w:pStyle w:val="null3"/>
                    <w:numPr>
                      <w:ilvl w:val="0"/>
                      <w:numId w:val="1"/>
                    </w:numPr>
                    <w:jc w:val="both"/>
                  </w:pPr>
                  <w:r>
                    <w:rPr>
                      <w:rFonts w:ascii="仿宋_GB2312" w:hAnsi="仿宋_GB2312" w:cs="仿宋_GB2312" w:eastAsia="仿宋_GB2312"/>
                      <w:sz w:val="24"/>
                    </w:rPr>
                    <w:t>运维管理：面向系统管理员及普通用户提供分级的系统维护与配置管理等功能。</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1"/>
                    </w:numPr>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应用拓展系统</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numPr>
                      <w:ilvl w:val="0"/>
                      <w:numId w:val="1"/>
                    </w:numPr>
                    <w:jc w:val="both"/>
                  </w:pPr>
                  <w:r>
                    <w:rPr>
                      <w:rFonts w:ascii="仿宋_GB2312" w:hAnsi="仿宋_GB2312" w:cs="仿宋_GB2312" w:eastAsia="仿宋_GB2312"/>
                      <w:sz w:val="24"/>
                    </w:rPr>
                    <w:t>样本管理：提供遥感影像样本数据的管理功能；</w:t>
                  </w:r>
                </w:p>
                <w:p>
                  <w:pPr>
                    <w:pStyle w:val="null3"/>
                    <w:numPr>
                      <w:ilvl w:val="0"/>
                      <w:numId w:val="1"/>
                    </w:numPr>
                    <w:jc w:val="both"/>
                  </w:pPr>
                  <w:r>
                    <w:rPr>
                      <w:rFonts w:ascii="仿宋_GB2312" w:hAnsi="仿宋_GB2312" w:cs="仿宋_GB2312" w:eastAsia="仿宋_GB2312"/>
                      <w:sz w:val="24"/>
                    </w:rPr>
                    <w:t>★</w:t>
                  </w:r>
                  <w:r>
                    <w:rPr>
                      <w:rFonts w:ascii="仿宋_GB2312" w:hAnsi="仿宋_GB2312" w:cs="仿宋_GB2312" w:eastAsia="仿宋_GB2312"/>
                      <w:sz w:val="24"/>
                    </w:rPr>
                    <w:t>网络模型：至少提供U-Net、DeepLabV3+、UPerNet模型；</w:t>
                  </w:r>
                </w:p>
                <w:p>
                  <w:pPr>
                    <w:pStyle w:val="null3"/>
                    <w:numPr>
                      <w:ilvl w:val="0"/>
                      <w:numId w:val="1"/>
                    </w:numPr>
                    <w:jc w:val="both"/>
                  </w:pPr>
                  <w:r>
                    <w:rPr>
                      <w:rFonts w:ascii="仿宋_GB2312" w:hAnsi="仿宋_GB2312" w:cs="仿宋_GB2312" w:eastAsia="仿宋_GB2312"/>
                      <w:sz w:val="24"/>
                    </w:rPr>
                    <w:t>模型训练：提供从训练任务配置、训练过程监控到训练结果评估的完整模型迭代优化能力；</w:t>
                  </w:r>
                </w:p>
                <w:p>
                  <w:pPr>
                    <w:pStyle w:val="null3"/>
                    <w:numPr>
                      <w:ilvl w:val="0"/>
                      <w:numId w:val="1"/>
                    </w:numPr>
                    <w:jc w:val="both"/>
                  </w:pPr>
                  <w:r>
                    <w:rPr>
                      <w:rFonts w:ascii="仿宋_GB2312" w:hAnsi="仿宋_GB2312" w:cs="仿宋_GB2312" w:eastAsia="仿宋_GB2312"/>
                      <w:sz w:val="24"/>
                    </w:rPr>
                    <w:t>模型管理：提供对训练产出的模型的管理；</w:t>
                  </w:r>
                </w:p>
                <w:p>
                  <w:pPr>
                    <w:pStyle w:val="null3"/>
                    <w:numPr>
                      <w:ilvl w:val="0"/>
                      <w:numId w:val="1"/>
                    </w:numPr>
                    <w:jc w:val="both"/>
                  </w:pPr>
                  <w:r>
                    <w:rPr>
                      <w:rFonts w:ascii="仿宋_GB2312" w:hAnsi="仿宋_GB2312" w:cs="仿宋_GB2312" w:eastAsia="仿宋_GB2312"/>
                      <w:sz w:val="24"/>
                    </w:rPr>
                    <w:t>影像预测：提供基于已训练成功发布的模型，对输入遥感影像进行自动解译，生成解译结果。</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1"/>
                    </w:numPr>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高分辨率一体化测图专业软件</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numPr>
                      <w:ilvl w:val="0"/>
                      <w:numId w:val="1"/>
                    </w:numPr>
                    <w:jc w:val="both"/>
                  </w:pPr>
                  <w:r>
                    <w:rPr>
                      <w:rFonts w:ascii="仿宋_GB2312" w:hAnsi="仿宋_GB2312" w:cs="仿宋_GB2312" w:eastAsia="仿宋_GB2312"/>
                      <w:sz w:val="24"/>
                    </w:rPr>
                    <w:t>全自动连接点转刺模块：提供以已有地理信息数据或者参考工程数据作为基准，通过集群并行处理模式实现了顾及地形约束的光学卫星影像连结点和参考控制点的全自动提取技术，可以在硬件资源充足的情况下快速实现万景以上多源遥感卫星影像的海量连接点和参考控制点高精度匹配，同时支持连接点的编辑和外业控制点的人工立体转刺等处理，能够保证大数据背景下的遥感影像快速化和高精度处理。</w:t>
                  </w:r>
                </w:p>
                <w:p>
                  <w:pPr>
                    <w:pStyle w:val="null3"/>
                    <w:numPr>
                      <w:ilvl w:val="0"/>
                      <w:numId w:val="1"/>
                    </w:numPr>
                    <w:jc w:val="both"/>
                  </w:pPr>
                  <w:r>
                    <w:rPr>
                      <w:rFonts w:ascii="仿宋_GB2312" w:hAnsi="仿宋_GB2312" w:cs="仿宋_GB2312" w:eastAsia="仿宋_GB2312"/>
                      <w:sz w:val="24"/>
                    </w:rPr>
                    <w:t>区域网平差计算模块：采用多视多角度影像匹配模型和基于ADMM（交替方向乘子法）的无控整体区域网平差关键技术，支持万景规模多源遥感数据的高效、高精度联合区域网平差。模块支持有控、无控两种平差模式；在支持传统的平差算法的基础上可附加顾及同轨几何约束的区域网平差策略和顾及地形约束的区域网平差策略。</w:t>
                  </w:r>
                </w:p>
                <w:p>
                  <w:pPr>
                    <w:pStyle w:val="null3"/>
                    <w:numPr>
                      <w:ilvl w:val="0"/>
                      <w:numId w:val="1"/>
                    </w:numPr>
                    <w:jc w:val="both"/>
                  </w:pPr>
                  <w:r>
                    <w:rPr>
                      <w:rFonts w:ascii="仿宋_GB2312" w:hAnsi="仿宋_GB2312" w:cs="仿宋_GB2312" w:eastAsia="仿宋_GB2312"/>
                      <w:sz w:val="24"/>
                    </w:rPr>
                    <w:t>DEM</w:t>
                  </w:r>
                  <w:r>
                    <w:rPr>
                      <w:rFonts w:ascii="仿宋_GB2312" w:hAnsi="仿宋_GB2312" w:cs="仿宋_GB2312" w:eastAsia="仿宋_GB2312"/>
                      <w:sz w:val="24"/>
                    </w:rPr>
                    <w:t>提取与自动云/雪/水处理模块：支持基于UMVM模型的多源、多分辨率遥感影像自动密集匹配与DSM/DEM提取，适应复杂地形；支持常用及自定义投影坐标系、断点续算、分辨率自定义；具备基于第三方地形数据的云/雪/水区域自动识别、误匹配修补及集群并行处理能力。</w:t>
                  </w:r>
                </w:p>
                <w:p>
                  <w:pPr>
                    <w:pStyle w:val="null3"/>
                    <w:numPr>
                      <w:ilvl w:val="0"/>
                      <w:numId w:val="1"/>
                    </w:numPr>
                    <w:jc w:val="both"/>
                  </w:pPr>
                  <w:r>
                    <w:rPr>
                      <w:rFonts w:ascii="仿宋_GB2312" w:hAnsi="仿宋_GB2312" w:cs="仿宋_GB2312" w:eastAsia="仿宋_GB2312"/>
                      <w:sz w:val="24"/>
                    </w:rPr>
                    <w:t>DEM/DOM</w:t>
                  </w:r>
                  <w:r>
                    <w:rPr>
                      <w:rFonts w:ascii="仿宋_GB2312" w:hAnsi="仿宋_GB2312" w:cs="仿宋_GB2312" w:eastAsia="仿宋_GB2312"/>
                      <w:sz w:val="24"/>
                    </w:rPr>
                    <w:t>镶嵌及人工编辑模块：提供半自动化工具，支持低空、航空、卫星及三线阵影像数据。DSM/DEM编辑子模块应支持网络化并行二维/三维立体编辑、多种格式转换、矢量内插DEM与等高线生成、数据拼接合并与比较、彩色/灰度渲染、矢量导入编辑、标准及自定义分幅裁切；DOM镶嵌子模块需支持调用Photoshop编辑局部DOM、多图层显示及自定义图层颜色。</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numPr>
                      <w:ilvl w:val="0"/>
                      <w:numId w:val="1"/>
                    </w:numPr>
                    <w:jc w:val="center"/>
                  </w:pP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遥感影像镶嵌匀色</w:t>
                  </w:r>
                  <w:r>
                    <w:rPr>
                      <w:rFonts w:ascii="仿宋_GB2312" w:hAnsi="仿宋_GB2312" w:cs="仿宋_GB2312" w:eastAsia="仿宋_GB2312"/>
                      <w:sz w:val="24"/>
                    </w:rPr>
                    <w:t>专业软件</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numPr>
                      <w:ilvl w:val="0"/>
                      <w:numId w:val="1"/>
                    </w:numPr>
                    <w:jc w:val="both"/>
                  </w:pPr>
                  <w:r>
                    <w:rPr>
                      <w:rFonts w:ascii="仿宋_GB2312" w:hAnsi="仿宋_GB2312" w:cs="仿宋_GB2312" w:eastAsia="仿宋_GB2312"/>
                      <w:sz w:val="24"/>
                    </w:rPr>
                    <w:t>正射影像纠正融合与色彩一致性处理模块：提供三次卷积重采样、PanSharpen融合算法和基于低分辨率参考影像基准色调的大范围遥感影像色彩一致性处理技术，通过集群并行处理实现了超大规模卫星影像的一键式高效、高精度正射影像处理。</w:t>
                  </w:r>
                </w:p>
                <w:p>
                  <w:pPr>
                    <w:pStyle w:val="null3"/>
                    <w:numPr>
                      <w:ilvl w:val="0"/>
                      <w:numId w:val="1"/>
                    </w:numPr>
                    <w:jc w:val="both"/>
                  </w:pPr>
                  <w:r>
                    <w:rPr>
                      <w:rFonts w:ascii="仿宋_GB2312" w:hAnsi="仿宋_GB2312" w:cs="仿宋_GB2312" w:eastAsia="仿宋_GB2312"/>
                      <w:sz w:val="24"/>
                    </w:rPr>
                    <w:t>影像智能化镶嵌模块：提供利用最优生成树方法智能检测镶嵌线，根据影像重叠区域亮度与梯度信息计算差分影像，并将其视为带权无向图，采取Prim算法求其最优生成树，在生成树上从叶子结点到根结点逆序遍历直接生成镶嵌线，并采用GPU加速并行计算技术提高镶嵌线提取速度，提高搜索镶嵌线的效率。</w:t>
                  </w:r>
                </w:p>
              </w:tc>
            </w:tr>
          </w:tbl>
          <w:p>
            <w:pPr>
              <w:pStyle w:val="null3"/>
              <w:ind w:firstLine="480"/>
            </w:pPr>
            <w:r>
              <w:rPr>
                <w:rFonts w:ascii="仿宋_GB2312" w:hAnsi="仿宋_GB2312" w:cs="仿宋_GB2312" w:eastAsia="仿宋_GB2312"/>
                <w:sz w:val="24"/>
              </w:rPr>
              <w:t>（</w:t>
            </w:r>
            <w:r>
              <w:rPr>
                <w:rFonts w:ascii="仿宋_GB2312" w:hAnsi="仿宋_GB2312" w:cs="仿宋_GB2312" w:eastAsia="仿宋_GB2312"/>
                <w:sz w:val="24"/>
                <w:b/>
              </w:rPr>
              <w:t>注：</w:t>
            </w:r>
            <w:r>
              <w:rPr>
                <w:rFonts w:ascii="仿宋_GB2312" w:hAnsi="仿宋_GB2312" w:cs="仿宋_GB2312" w:eastAsia="仿宋_GB2312"/>
                <w:sz w:val="24"/>
              </w:rPr>
              <w:t>带“★”的参数需求为实质性要求，</w:t>
            </w:r>
            <w:r>
              <w:rPr>
                <w:rFonts w:ascii="仿宋_GB2312" w:hAnsi="仿宋_GB2312" w:cs="仿宋_GB2312" w:eastAsia="仿宋_GB2312"/>
                <w:sz w:val="24"/>
              </w:rPr>
              <w:t>供应商</w:t>
            </w:r>
            <w:r>
              <w:rPr>
                <w:rFonts w:ascii="仿宋_GB2312" w:hAnsi="仿宋_GB2312" w:cs="仿宋_GB2312" w:eastAsia="仿宋_GB2312"/>
                <w:sz w:val="24"/>
              </w:rPr>
              <w:t>必须响应并满足的参数需求。）</w:t>
            </w:r>
          </w:p>
          <w:p>
            <w:pPr>
              <w:pStyle w:val="null3"/>
              <w:spacing w:before="255" w:after="255"/>
              <w:jc w:val="both"/>
              <w:outlineLvl w:val="2"/>
            </w:pPr>
            <w:r>
              <w:rPr>
                <w:rFonts w:ascii="仿宋_GB2312" w:hAnsi="仿宋_GB2312" w:cs="仿宋_GB2312" w:eastAsia="仿宋_GB2312"/>
                <w:sz w:val="24"/>
                <w:b/>
              </w:rPr>
              <w:t>机房基础环境改造系统清单及技术要求</w:t>
            </w:r>
          </w:p>
          <w:p>
            <w:pPr>
              <w:pStyle w:val="null3"/>
              <w:ind w:firstLine="480"/>
            </w:pPr>
            <w:r>
              <w:rPr>
                <w:rFonts w:ascii="仿宋_GB2312" w:hAnsi="仿宋_GB2312" w:cs="仿宋_GB2312" w:eastAsia="仿宋_GB2312"/>
                <w:sz w:val="24"/>
              </w:rPr>
              <w:t>本次工程机房建设涉及内容包括：机房</w:t>
            </w:r>
            <w:r>
              <w:rPr>
                <w:rFonts w:ascii="仿宋_GB2312" w:hAnsi="仿宋_GB2312" w:cs="仿宋_GB2312" w:eastAsia="仿宋_GB2312"/>
                <w:sz w:val="24"/>
              </w:rPr>
              <w:t>改造部分</w:t>
            </w:r>
            <w:r>
              <w:rPr>
                <w:rFonts w:ascii="仿宋_GB2312" w:hAnsi="仿宋_GB2312" w:cs="仿宋_GB2312" w:eastAsia="仿宋_GB2312"/>
                <w:sz w:val="24"/>
              </w:rPr>
              <w:t>、机房供配电系统、机房</w:t>
            </w:r>
            <w:r>
              <w:rPr>
                <w:rFonts w:ascii="仿宋_GB2312" w:hAnsi="仿宋_GB2312" w:cs="仿宋_GB2312" w:eastAsia="仿宋_GB2312"/>
                <w:sz w:val="24"/>
              </w:rPr>
              <w:t>UPS</w:t>
            </w:r>
            <w:r>
              <w:rPr>
                <w:rFonts w:ascii="仿宋_GB2312" w:hAnsi="仿宋_GB2312" w:cs="仿宋_GB2312" w:eastAsia="仿宋_GB2312"/>
                <w:sz w:val="24"/>
              </w:rPr>
              <w:t>系统、机房精密空调系统、机房机柜系统、机房集中视频安防图像采集系统等。</w:t>
            </w:r>
          </w:p>
          <w:p>
            <w:pPr>
              <w:pStyle w:val="null3"/>
              <w:numPr>
                <w:ilvl w:val="0"/>
                <w:numId w:val="1"/>
              </w:numPr>
              <w:ind w:left="315"/>
            </w:pPr>
            <w:r>
              <w:rPr>
                <w:rFonts w:ascii="仿宋_GB2312" w:hAnsi="仿宋_GB2312" w:cs="仿宋_GB2312" w:eastAsia="仿宋_GB2312"/>
                <w:sz w:val="24"/>
              </w:rPr>
              <w:t>机房</w:t>
            </w:r>
            <w:r>
              <w:rPr>
                <w:rFonts w:ascii="仿宋_GB2312" w:hAnsi="仿宋_GB2312" w:cs="仿宋_GB2312" w:eastAsia="仿宋_GB2312"/>
                <w:sz w:val="24"/>
              </w:rPr>
              <w:t>改造部分</w:t>
            </w:r>
            <w:r>
              <w:rPr>
                <w:rFonts w:ascii="仿宋_GB2312" w:hAnsi="仿宋_GB2312" w:cs="仿宋_GB2312" w:eastAsia="仿宋_GB2312"/>
                <w:sz w:val="24"/>
              </w:rPr>
              <w:t>：</w:t>
            </w:r>
          </w:p>
          <w:tbl>
            <w:tblPr>
              <w:tblBorders>
                <w:top w:val="single"/>
                <w:left w:val="single"/>
                <w:bottom w:val="single"/>
                <w:right w:val="single"/>
                <w:insideH w:val="single"/>
                <w:insideV w:val="single"/>
              </w:tblBorders>
            </w:tblPr>
            <w:tblGrid>
              <w:gridCol w:w="217"/>
              <w:gridCol w:w="622"/>
              <w:gridCol w:w="1040"/>
              <w:gridCol w:w="338"/>
              <w:gridCol w:w="338"/>
            </w:tblGrid>
            <w:tr>
              <w:tc>
                <w:tcPr>
                  <w:tcW w:type="dxa" w:w="217"/>
                  <w:tcBorders>
                    <w:top w:val="single" w:color="000000" w:sz="4"/>
                    <w:left w:val="single" w:color="000000" w:sz="4"/>
                    <w:bottom w:val="single" w:color="000000" w:sz="4"/>
                    <w:right w:val="single" w:color="000000" w:sz="4"/>
                  </w:tcBorders>
                  <w:shd w:fill="BDD7EE"/>
                  <w:tcMar>
                    <w:top w:type="dxa" w:w="0"/>
                    <w:left w:type="dxa" w:w="105"/>
                    <w:bottom w:type="dxa" w:w="0"/>
                    <w:right w:type="dxa" w:w="105"/>
                  </w:tcMar>
                </w:tcPr>
                <w:p>
                  <w:pPr>
                    <w:pStyle w:val="null3"/>
                    <w:jc w:val="center"/>
                  </w:pPr>
                  <w:r>
                    <w:rPr>
                      <w:rFonts w:ascii="仿宋_GB2312" w:hAnsi="仿宋_GB2312" w:cs="仿宋_GB2312" w:eastAsia="仿宋_GB2312"/>
                      <w:sz w:val="24"/>
                      <w:b/>
                    </w:rPr>
                    <w:t>序号</w:t>
                  </w:r>
                </w:p>
              </w:tc>
              <w:tc>
                <w:tcPr>
                  <w:tcW w:type="dxa" w:w="622"/>
                  <w:tcBorders>
                    <w:top w:val="single" w:color="000000" w:sz="4"/>
                    <w:left w:val="none" w:color="000000" w:sz="4"/>
                    <w:bottom w:val="single" w:color="000000" w:sz="4"/>
                    <w:right w:val="single" w:color="000000" w:sz="4"/>
                  </w:tcBorders>
                  <w:shd w:fill="BDD7EE"/>
                  <w:tcMar>
                    <w:top w:type="dxa" w:w="0"/>
                    <w:left w:type="dxa" w:w="105"/>
                    <w:bottom w:type="dxa" w:w="0"/>
                    <w:right w:type="dxa" w:w="105"/>
                  </w:tcMar>
                </w:tcPr>
                <w:p>
                  <w:pPr>
                    <w:pStyle w:val="null3"/>
                    <w:jc w:val="center"/>
                  </w:pPr>
                  <w:r>
                    <w:rPr>
                      <w:rFonts w:ascii="仿宋_GB2312" w:hAnsi="仿宋_GB2312" w:cs="仿宋_GB2312" w:eastAsia="仿宋_GB2312"/>
                      <w:sz w:val="24"/>
                      <w:b/>
                    </w:rPr>
                    <w:t>产品名称</w:t>
                  </w:r>
                </w:p>
              </w:tc>
              <w:tc>
                <w:tcPr>
                  <w:tcW w:type="dxa" w:w="1040"/>
                  <w:tcBorders>
                    <w:top w:val="single" w:color="000000" w:sz="4"/>
                    <w:left w:val="none" w:color="000000" w:sz="4"/>
                    <w:bottom w:val="single" w:color="000000" w:sz="4"/>
                    <w:right w:val="single" w:color="000000" w:sz="4"/>
                  </w:tcBorders>
                  <w:shd w:fill="BDD7EE"/>
                  <w:tcMar>
                    <w:top w:type="dxa" w:w="0"/>
                    <w:left w:type="dxa" w:w="105"/>
                    <w:bottom w:type="dxa" w:w="0"/>
                    <w:right w:type="dxa" w:w="105"/>
                  </w:tcMar>
                </w:tcPr>
                <w:p>
                  <w:pPr>
                    <w:pStyle w:val="null3"/>
                    <w:jc w:val="center"/>
                  </w:pPr>
                  <w:r>
                    <w:rPr>
                      <w:rFonts w:ascii="仿宋_GB2312" w:hAnsi="仿宋_GB2312" w:cs="仿宋_GB2312" w:eastAsia="仿宋_GB2312"/>
                      <w:sz w:val="24"/>
                      <w:b/>
                    </w:rPr>
                    <w:t>技术参数</w:t>
                  </w:r>
                </w:p>
              </w:tc>
              <w:tc>
                <w:tcPr>
                  <w:tcW w:type="dxa" w:w="338"/>
                  <w:tcBorders>
                    <w:top w:val="single" w:color="000000" w:sz="4"/>
                    <w:left w:val="none" w:color="000000" w:sz="4"/>
                    <w:bottom w:val="single" w:color="000000" w:sz="4"/>
                    <w:right w:val="single" w:color="000000" w:sz="4"/>
                  </w:tcBorders>
                  <w:shd w:fill="BDD7EE"/>
                  <w:tcMar>
                    <w:top w:type="dxa" w:w="0"/>
                    <w:left w:type="dxa" w:w="105"/>
                    <w:bottom w:type="dxa" w:w="0"/>
                    <w:right w:type="dxa" w:w="105"/>
                  </w:tcMar>
                </w:tcPr>
                <w:p>
                  <w:pPr>
                    <w:pStyle w:val="null3"/>
                    <w:jc w:val="center"/>
                  </w:pPr>
                  <w:r>
                    <w:rPr>
                      <w:rFonts w:ascii="仿宋_GB2312" w:hAnsi="仿宋_GB2312" w:cs="仿宋_GB2312" w:eastAsia="仿宋_GB2312"/>
                      <w:sz w:val="24"/>
                      <w:b/>
                    </w:rPr>
                    <w:t>单位</w:t>
                  </w:r>
                </w:p>
              </w:tc>
              <w:tc>
                <w:tcPr>
                  <w:tcW w:type="dxa" w:w="338"/>
                  <w:tcBorders>
                    <w:top w:val="single" w:color="000000" w:sz="4"/>
                    <w:left w:val="none" w:color="000000" w:sz="4"/>
                    <w:bottom w:val="single" w:color="000000" w:sz="4"/>
                    <w:right w:val="single" w:color="000000" w:sz="4"/>
                  </w:tcBorders>
                  <w:shd w:fill="BDD7EE"/>
                  <w:tcMar>
                    <w:top w:type="dxa" w:w="0"/>
                    <w:left w:type="dxa" w:w="105"/>
                    <w:bottom w:type="dxa" w:w="0"/>
                    <w:right w:type="dxa" w:w="105"/>
                  </w:tcMar>
                </w:tcPr>
                <w:p>
                  <w:pPr>
                    <w:pStyle w:val="null3"/>
                    <w:jc w:val="center"/>
                  </w:pPr>
                  <w:r>
                    <w:rPr>
                      <w:rFonts w:ascii="仿宋_GB2312" w:hAnsi="仿宋_GB2312" w:cs="仿宋_GB2312" w:eastAsia="仿宋_GB2312"/>
                      <w:sz w:val="24"/>
                      <w:b/>
                    </w:rPr>
                    <w:t>数量</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设备拆除及搬迁</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满足本次项目建设要求</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项</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垃圾清运</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现场垃圾清运费及卫生保洁</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项</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bl>
          <w:p>
            <w:pPr>
              <w:pStyle w:val="null3"/>
              <w:numPr>
                <w:ilvl w:val="0"/>
                <w:numId w:val="1"/>
              </w:numPr>
              <w:ind w:firstLine="480"/>
            </w:pPr>
            <w:r>
              <w:rPr>
                <w:rFonts w:ascii="仿宋_GB2312" w:hAnsi="仿宋_GB2312" w:cs="仿宋_GB2312" w:eastAsia="仿宋_GB2312"/>
                <w:sz w:val="24"/>
              </w:rPr>
              <w:t>机房供配电系统</w:t>
            </w:r>
          </w:p>
          <w:tbl>
            <w:tblPr>
              <w:tblBorders>
                <w:top w:val="single"/>
                <w:left w:val="single"/>
                <w:bottom w:val="single"/>
                <w:right w:val="single"/>
                <w:insideH w:val="single"/>
                <w:insideV w:val="single"/>
              </w:tblBorders>
            </w:tblPr>
            <w:tblGrid>
              <w:gridCol w:w="221"/>
              <w:gridCol w:w="591"/>
              <w:gridCol w:w="1283"/>
              <w:gridCol w:w="212"/>
              <w:gridCol w:w="248"/>
            </w:tblGrid>
            <w:tr>
              <w:tc>
                <w:tcPr>
                  <w:tcW w:type="dxa" w:w="221"/>
                  <w:tcBorders>
                    <w:top w:val="single" w:color="000000" w:sz="4"/>
                    <w:left w:val="single" w:color="000000" w:sz="4"/>
                    <w:bottom w:val="single" w:color="000000" w:sz="4"/>
                    <w:right w:val="single" w:color="000000" w:sz="4"/>
                  </w:tcBorders>
                  <w:shd w:fill="BDD7EE"/>
                  <w:tcMar>
                    <w:top w:type="dxa" w:w="0"/>
                    <w:left w:type="dxa" w:w="105"/>
                    <w:bottom w:type="dxa" w:w="0"/>
                    <w:right w:type="dxa" w:w="105"/>
                  </w:tcMar>
                </w:tcPr>
                <w:p>
                  <w:pPr>
                    <w:pStyle w:val="null3"/>
                    <w:jc w:val="center"/>
                  </w:pPr>
                  <w:r>
                    <w:rPr>
                      <w:rFonts w:ascii="仿宋_GB2312" w:hAnsi="仿宋_GB2312" w:cs="仿宋_GB2312" w:eastAsia="仿宋_GB2312"/>
                      <w:sz w:val="24"/>
                      <w:b/>
                    </w:rPr>
                    <w:t>序号</w:t>
                  </w:r>
                </w:p>
              </w:tc>
              <w:tc>
                <w:tcPr>
                  <w:tcW w:type="dxa" w:w="591"/>
                  <w:tcBorders>
                    <w:top w:val="single" w:color="000000" w:sz="4"/>
                    <w:left w:val="none" w:color="000000" w:sz="4"/>
                    <w:bottom w:val="single" w:color="000000" w:sz="4"/>
                    <w:right w:val="single" w:color="000000" w:sz="4"/>
                  </w:tcBorders>
                  <w:shd w:fill="BDD7EE"/>
                  <w:tcMar>
                    <w:top w:type="dxa" w:w="0"/>
                    <w:left w:type="dxa" w:w="105"/>
                    <w:bottom w:type="dxa" w:w="0"/>
                    <w:right w:type="dxa" w:w="105"/>
                  </w:tcMar>
                </w:tcPr>
                <w:p>
                  <w:pPr>
                    <w:pStyle w:val="null3"/>
                    <w:jc w:val="center"/>
                  </w:pPr>
                  <w:r>
                    <w:rPr>
                      <w:rFonts w:ascii="仿宋_GB2312" w:hAnsi="仿宋_GB2312" w:cs="仿宋_GB2312" w:eastAsia="仿宋_GB2312"/>
                      <w:sz w:val="24"/>
                      <w:b/>
                    </w:rPr>
                    <w:t>设备材料名称</w:t>
                  </w:r>
                </w:p>
              </w:tc>
              <w:tc>
                <w:tcPr>
                  <w:tcW w:type="dxa" w:w="1283"/>
                  <w:tcBorders>
                    <w:top w:val="single" w:color="000000" w:sz="4"/>
                    <w:left w:val="none" w:color="000000" w:sz="4"/>
                    <w:bottom w:val="single" w:color="000000" w:sz="4"/>
                    <w:right w:val="single" w:color="000000" w:sz="4"/>
                  </w:tcBorders>
                  <w:shd w:fill="BDD7EE"/>
                  <w:tcMar>
                    <w:top w:type="dxa" w:w="0"/>
                    <w:left w:type="dxa" w:w="105"/>
                    <w:bottom w:type="dxa" w:w="0"/>
                    <w:right w:type="dxa" w:w="105"/>
                  </w:tcMar>
                </w:tcPr>
                <w:p>
                  <w:pPr>
                    <w:pStyle w:val="null3"/>
                    <w:jc w:val="center"/>
                  </w:pPr>
                  <w:r>
                    <w:rPr>
                      <w:rFonts w:ascii="仿宋_GB2312" w:hAnsi="仿宋_GB2312" w:cs="仿宋_GB2312" w:eastAsia="仿宋_GB2312"/>
                      <w:sz w:val="24"/>
                      <w:b/>
                    </w:rPr>
                    <w:t>规格</w:t>
                  </w:r>
                </w:p>
              </w:tc>
              <w:tc>
                <w:tcPr>
                  <w:tcW w:type="dxa" w:w="212"/>
                  <w:tcBorders>
                    <w:top w:val="single" w:color="000000" w:sz="4"/>
                    <w:left w:val="none" w:color="000000" w:sz="4"/>
                    <w:bottom w:val="single" w:color="000000" w:sz="4"/>
                    <w:right w:val="single" w:color="000000" w:sz="4"/>
                  </w:tcBorders>
                  <w:shd w:fill="BDD7EE"/>
                  <w:tcMar>
                    <w:top w:type="dxa" w:w="0"/>
                    <w:left w:type="dxa" w:w="105"/>
                    <w:bottom w:type="dxa" w:w="0"/>
                    <w:right w:type="dxa" w:w="105"/>
                  </w:tcMar>
                </w:tcPr>
                <w:p>
                  <w:pPr>
                    <w:pStyle w:val="null3"/>
                    <w:jc w:val="center"/>
                  </w:pPr>
                  <w:r>
                    <w:rPr>
                      <w:rFonts w:ascii="仿宋_GB2312" w:hAnsi="仿宋_GB2312" w:cs="仿宋_GB2312" w:eastAsia="仿宋_GB2312"/>
                      <w:sz w:val="24"/>
                      <w:b/>
                    </w:rPr>
                    <w:t>单位</w:t>
                  </w:r>
                </w:p>
              </w:tc>
              <w:tc>
                <w:tcPr>
                  <w:tcW w:type="dxa" w:w="248"/>
                  <w:tcBorders>
                    <w:top w:val="single" w:color="000000" w:sz="4"/>
                    <w:left w:val="none" w:color="000000" w:sz="4"/>
                    <w:bottom w:val="single" w:color="000000" w:sz="4"/>
                    <w:right w:val="single" w:color="000000" w:sz="4"/>
                  </w:tcBorders>
                  <w:shd w:fill="BDD7EE"/>
                  <w:tcMar>
                    <w:top w:type="dxa" w:w="0"/>
                    <w:left w:type="dxa" w:w="105"/>
                    <w:bottom w:type="dxa" w:w="0"/>
                    <w:right w:type="dxa" w:w="105"/>
                  </w:tcMar>
                </w:tcPr>
                <w:p>
                  <w:pPr>
                    <w:pStyle w:val="null3"/>
                    <w:jc w:val="center"/>
                  </w:pPr>
                  <w:r>
                    <w:rPr>
                      <w:rFonts w:ascii="仿宋_GB2312" w:hAnsi="仿宋_GB2312" w:cs="仿宋_GB2312" w:eastAsia="仿宋_GB2312"/>
                      <w:sz w:val="24"/>
                      <w:b/>
                    </w:rPr>
                    <w:t>数量</w:t>
                  </w:r>
                </w:p>
              </w:tc>
            </w:tr>
            <w:tr>
              <w:tc>
                <w:tcPr>
                  <w:tcW w:type="dxa" w:w="221"/>
                  <w:tcBorders>
                    <w:top w:val="none" w:color="000000" w:sz="4"/>
                    <w:left w:val="singl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4"/>
                      <w:color w:val="000000"/>
                    </w:rPr>
                    <w:t>3.1</w:t>
                  </w:r>
                </w:p>
              </w:tc>
              <w:tc>
                <w:tcPr>
                  <w:tcW w:type="dxa" w:w="591"/>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4"/>
                      <w:color w:val="000000"/>
                    </w:rPr>
                    <w:t>配电部分</w:t>
                  </w:r>
                </w:p>
              </w:tc>
              <w:tc>
                <w:tcPr>
                  <w:tcW w:type="dxa" w:w="1283"/>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1"/>
                    </w:rPr>
                    <w:t>　</w:t>
                  </w:r>
                </w:p>
              </w:tc>
              <w:tc>
                <w:tcPr>
                  <w:tcW w:type="dxa" w:w="212"/>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1"/>
                    </w:rPr>
                    <w:t>　</w:t>
                  </w:r>
                </w:p>
              </w:tc>
              <w:tc>
                <w:tcPr>
                  <w:tcW w:type="dxa" w:w="248"/>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1"/>
                    </w:rPr>
                    <w:t>　</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精密列头柜</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125A/3P</w:t>
                  </w:r>
                  <w:r>
                    <w:rPr>
                      <w:rFonts w:ascii="仿宋_GB2312" w:hAnsi="仿宋_GB2312" w:cs="仿宋_GB2312" w:eastAsia="仿宋_GB2312"/>
                      <w:sz w:val="24"/>
                      <w:color w:val="000000"/>
                    </w:rPr>
                    <w:t>总输入开关，及配套支路开关。尺寸(宽深高):</w:t>
                  </w:r>
                  <w:r>
                    <w:rPr>
                      <w:rFonts w:ascii="仿宋_GB2312" w:hAnsi="仿宋_GB2312" w:cs="仿宋_GB2312" w:eastAsia="仿宋_GB2312"/>
                      <w:sz w:val="24"/>
                    </w:rPr>
                    <w:t>(600*1200*2000mm)</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2</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配电柜支架</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L50</w:t>
                  </w:r>
                  <w:r>
                    <w:rPr>
                      <w:rFonts w:ascii="仿宋_GB2312" w:hAnsi="仿宋_GB2312" w:cs="仿宋_GB2312" w:eastAsia="仿宋_GB2312"/>
                      <w:sz w:val="24"/>
                      <w:color w:val="000000"/>
                    </w:rPr>
                    <w:t>焊接</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个</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221"/>
                  <w:tcBorders>
                    <w:top w:val="none" w:color="000000" w:sz="4"/>
                    <w:left w:val="singl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4"/>
                      <w:color w:val="000000"/>
                    </w:rPr>
                    <w:t>3.2</w:t>
                  </w:r>
                </w:p>
              </w:tc>
              <w:tc>
                <w:tcPr>
                  <w:tcW w:type="dxa" w:w="591"/>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4"/>
                      <w:color w:val="000000"/>
                    </w:rPr>
                    <w:t>电缆部分</w:t>
                  </w:r>
                </w:p>
              </w:tc>
              <w:tc>
                <w:tcPr>
                  <w:tcW w:type="dxa" w:w="1283"/>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1"/>
                    </w:rPr>
                    <w:t>　</w:t>
                  </w:r>
                </w:p>
              </w:tc>
              <w:tc>
                <w:tcPr>
                  <w:tcW w:type="dxa" w:w="212"/>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center"/>
                  </w:pPr>
                </w:p>
              </w:tc>
              <w:tc>
                <w:tcPr>
                  <w:tcW w:type="dxa" w:w="248"/>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UPS</w:t>
                  </w:r>
                  <w:r>
                    <w:rPr>
                      <w:rFonts w:ascii="仿宋_GB2312" w:hAnsi="仿宋_GB2312" w:cs="仿宋_GB2312" w:eastAsia="仿宋_GB2312"/>
                      <w:sz w:val="24"/>
                      <w:color w:val="000000"/>
                    </w:rPr>
                    <w:t>输入/维修旁路电缆</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ZC-YJV5*16m</w:t>
                  </w:r>
                  <w:r>
                    <w:rPr>
                      <w:rFonts w:ascii="仿宋_GB2312" w:hAnsi="仿宋_GB2312" w:cs="仿宋_GB2312" w:eastAsia="仿宋_GB2312"/>
                      <w:sz w:val="24"/>
                      <w:color w:val="000000"/>
                    </w:rPr>
                    <w:t>㎡</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米</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20</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2</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列间空调电缆</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ZC-YJV5*10m</w:t>
                  </w:r>
                  <w:r>
                    <w:rPr>
                      <w:rFonts w:ascii="仿宋_GB2312" w:hAnsi="仿宋_GB2312" w:cs="仿宋_GB2312" w:eastAsia="仿宋_GB2312"/>
                      <w:sz w:val="24"/>
                      <w:color w:val="000000"/>
                    </w:rPr>
                    <w:t>㎡</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米</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20</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3</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机柜电源线</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ZC-RVV3*6m</w:t>
                  </w:r>
                  <w:r>
                    <w:rPr>
                      <w:rFonts w:ascii="仿宋_GB2312" w:hAnsi="仿宋_GB2312" w:cs="仿宋_GB2312" w:eastAsia="仿宋_GB2312"/>
                      <w:sz w:val="24"/>
                      <w:color w:val="000000"/>
                    </w:rPr>
                    <w:t>㎡</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米</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80</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4</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插座导线</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ZC-BV4m</w:t>
                  </w:r>
                  <w:r>
                    <w:rPr>
                      <w:rFonts w:ascii="仿宋_GB2312" w:hAnsi="仿宋_GB2312" w:cs="仿宋_GB2312" w:eastAsia="仿宋_GB2312"/>
                      <w:sz w:val="24"/>
                      <w:color w:val="000000"/>
                    </w:rPr>
                    <w:t>㎡</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卷</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5</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照明导线</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ZC-BV2.5m</w:t>
                  </w:r>
                  <w:r>
                    <w:rPr>
                      <w:rFonts w:ascii="仿宋_GB2312" w:hAnsi="仿宋_GB2312" w:cs="仿宋_GB2312" w:eastAsia="仿宋_GB2312"/>
                      <w:sz w:val="24"/>
                      <w:color w:val="000000"/>
                    </w:rPr>
                    <w:t>㎡</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卷</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6</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辅助设备电源线</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ZC-RVV3*1.5m</w:t>
                  </w:r>
                  <w:r>
                    <w:rPr>
                      <w:rFonts w:ascii="仿宋_GB2312" w:hAnsi="仿宋_GB2312" w:cs="仿宋_GB2312" w:eastAsia="仿宋_GB2312"/>
                      <w:sz w:val="24"/>
                      <w:color w:val="000000"/>
                    </w:rPr>
                    <w:t>㎡</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卷</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221"/>
                  <w:tcBorders>
                    <w:top w:val="none" w:color="000000" w:sz="4"/>
                    <w:left w:val="singl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4"/>
                      <w:color w:val="000000"/>
                    </w:rPr>
                    <w:t>3.3</w:t>
                  </w:r>
                </w:p>
              </w:tc>
              <w:tc>
                <w:tcPr>
                  <w:tcW w:type="dxa" w:w="591"/>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4"/>
                      <w:color w:val="000000"/>
                    </w:rPr>
                    <w:t>线路敷设部分</w:t>
                  </w:r>
                </w:p>
              </w:tc>
              <w:tc>
                <w:tcPr>
                  <w:tcW w:type="dxa" w:w="1283"/>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1"/>
                    </w:rPr>
                    <w:t>　</w:t>
                  </w:r>
                </w:p>
              </w:tc>
              <w:tc>
                <w:tcPr>
                  <w:tcW w:type="dxa" w:w="212"/>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center"/>
                  </w:pPr>
                </w:p>
              </w:tc>
              <w:tc>
                <w:tcPr>
                  <w:tcW w:type="dxa" w:w="248"/>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 xml:space="preserve">KBG </w:t>
                  </w:r>
                  <w:r>
                    <w:rPr>
                      <w:rFonts w:ascii="仿宋_GB2312" w:hAnsi="仿宋_GB2312" w:cs="仿宋_GB2312" w:eastAsia="仿宋_GB2312"/>
                      <w:sz w:val="24"/>
                      <w:color w:val="000000"/>
                    </w:rPr>
                    <w:t>镀锌钢管</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DN20</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米</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100</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2</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金属软管</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DN20</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米</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50</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3</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灯具桥架</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100*50mm</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m</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20</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4</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空调铜管桥架</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200*100mm</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m</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20</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5</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强电钢制线槽</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200*100mm</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m</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20</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6</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弱电网格桥架</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200*100mm</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m</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15</w:t>
                  </w:r>
                </w:p>
              </w:tc>
            </w:tr>
          </w:tbl>
          <w:p>
            <w:pPr>
              <w:pStyle w:val="null3"/>
              <w:numPr>
                <w:ilvl w:val="0"/>
                <w:numId w:val="1"/>
              </w:numPr>
              <w:ind w:firstLine="480"/>
            </w:pPr>
            <w:r>
              <w:rPr>
                <w:rFonts w:ascii="仿宋_GB2312" w:hAnsi="仿宋_GB2312" w:cs="仿宋_GB2312" w:eastAsia="仿宋_GB2312"/>
                <w:sz w:val="24"/>
              </w:rPr>
              <w:t>机房</w:t>
            </w:r>
            <w:r>
              <w:rPr>
                <w:rFonts w:ascii="仿宋_GB2312" w:hAnsi="仿宋_GB2312" w:cs="仿宋_GB2312" w:eastAsia="仿宋_GB2312"/>
                <w:sz w:val="24"/>
              </w:rPr>
              <w:t>UPS</w:t>
            </w:r>
            <w:r>
              <w:rPr>
                <w:rFonts w:ascii="仿宋_GB2312" w:hAnsi="仿宋_GB2312" w:cs="仿宋_GB2312" w:eastAsia="仿宋_GB2312"/>
                <w:sz w:val="24"/>
              </w:rPr>
              <w:t>系统</w:t>
            </w:r>
          </w:p>
          <w:tbl>
            <w:tblPr>
              <w:tblBorders>
                <w:top w:val="single"/>
                <w:left w:val="single"/>
                <w:bottom w:val="single"/>
                <w:right w:val="single"/>
                <w:insideH w:val="single"/>
                <w:insideV w:val="single"/>
              </w:tblBorders>
            </w:tblPr>
            <w:tblGrid>
              <w:gridCol w:w="203"/>
              <w:gridCol w:w="619"/>
              <w:gridCol w:w="1288"/>
              <w:gridCol w:w="203"/>
              <w:gridCol w:w="237"/>
            </w:tblGrid>
            <w:tr>
              <w:tc>
                <w:tcPr>
                  <w:tcW w:type="dxa" w:w="203"/>
                  <w:tcBorders>
                    <w:top w:val="single" w:color="000000" w:sz="4"/>
                    <w:left w:val="single" w:color="000000" w:sz="4"/>
                    <w:bottom w:val="single" w:color="000000" w:sz="4"/>
                    <w:right w:val="single" w:color="000000" w:sz="4"/>
                  </w:tcBorders>
                  <w:shd w:fill="BDD7EE"/>
                  <w:tcMar>
                    <w:top w:type="dxa" w:w="0"/>
                    <w:left w:type="dxa" w:w="105"/>
                    <w:bottom w:type="dxa" w:w="0"/>
                    <w:right w:type="dxa" w:w="105"/>
                  </w:tcMar>
                </w:tcPr>
                <w:p>
                  <w:pPr>
                    <w:pStyle w:val="null3"/>
                    <w:jc w:val="center"/>
                  </w:pPr>
                  <w:r>
                    <w:rPr>
                      <w:rFonts w:ascii="仿宋_GB2312" w:hAnsi="仿宋_GB2312" w:cs="仿宋_GB2312" w:eastAsia="仿宋_GB2312"/>
                      <w:sz w:val="24"/>
                      <w:b/>
                    </w:rPr>
                    <w:t>序号</w:t>
                  </w:r>
                </w:p>
              </w:tc>
              <w:tc>
                <w:tcPr>
                  <w:tcW w:type="dxa" w:w="619"/>
                  <w:tcBorders>
                    <w:top w:val="single" w:color="000000" w:sz="4"/>
                    <w:left w:val="none" w:color="000000" w:sz="4"/>
                    <w:bottom w:val="single" w:color="000000" w:sz="4"/>
                    <w:right w:val="single" w:color="000000" w:sz="4"/>
                  </w:tcBorders>
                  <w:shd w:fill="BDD7EE"/>
                  <w:tcMar>
                    <w:top w:type="dxa" w:w="0"/>
                    <w:left w:type="dxa" w:w="105"/>
                    <w:bottom w:type="dxa" w:w="0"/>
                    <w:right w:type="dxa" w:w="105"/>
                  </w:tcMar>
                </w:tcPr>
                <w:p>
                  <w:pPr>
                    <w:pStyle w:val="null3"/>
                    <w:jc w:val="center"/>
                  </w:pPr>
                  <w:r>
                    <w:rPr>
                      <w:rFonts w:ascii="仿宋_GB2312" w:hAnsi="仿宋_GB2312" w:cs="仿宋_GB2312" w:eastAsia="仿宋_GB2312"/>
                      <w:sz w:val="24"/>
                      <w:b/>
                    </w:rPr>
                    <w:t>设备材料名称</w:t>
                  </w:r>
                </w:p>
              </w:tc>
              <w:tc>
                <w:tcPr>
                  <w:tcW w:type="dxa" w:w="1288"/>
                  <w:tcBorders>
                    <w:top w:val="single" w:color="000000" w:sz="4"/>
                    <w:left w:val="none" w:color="000000" w:sz="4"/>
                    <w:bottom w:val="single" w:color="000000" w:sz="4"/>
                    <w:right w:val="single" w:color="000000" w:sz="4"/>
                  </w:tcBorders>
                  <w:shd w:fill="BDD7EE"/>
                  <w:tcMar>
                    <w:top w:type="dxa" w:w="0"/>
                    <w:left w:type="dxa" w:w="105"/>
                    <w:bottom w:type="dxa" w:w="0"/>
                    <w:right w:type="dxa" w:w="105"/>
                  </w:tcMar>
                </w:tcPr>
                <w:p>
                  <w:pPr>
                    <w:pStyle w:val="null3"/>
                    <w:jc w:val="center"/>
                  </w:pPr>
                  <w:r>
                    <w:rPr>
                      <w:rFonts w:ascii="仿宋_GB2312" w:hAnsi="仿宋_GB2312" w:cs="仿宋_GB2312" w:eastAsia="仿宋_GB2312"/>
                      <w:sz w:val="24"/>
                      <w:b/>
                    </w:rPr>
                    <w:t>规格</w:t>
                  </w:r>
                </w:p>
              </w:tc>
              <w:tc>
                <w:tcPr>
                  <w:tcW w:type="dxa" w:w="203"/>
                  <w:tcBorders>
                    <w:top w:val="single" w:color="000000" w:sz="4"/>
                    <w:left w:val="none" w:color="000000" w:sz="4"/>
                    <w:bottom w:val="single" w:color="000000" w:sz="4"/>
                    <w:right w:val="single" w:color="000000" w:sz="4"/>
                  </w:tcBorders>
                  <w:shd w:fill="BDD7EE"/>
                  <w:tcMar>
                    <w:top w:type="dxa" w:w="0"/>
                    <w:left w:type="dxa" w:w="105"/>
                    <w:bottom w:type="dxa" w:w="0"/>
                    <w:right w:type="dxa" w:w="105"/>
                  </w:tcMar>
                </w:tcPr>
                <w:p>
                  <w:pPr>
                    <w:pStyle w:val="null3"/>
                    <w:jc w:val="center"/>
                  </w:pPr>
                  <w:r>
                    <w:rPr>
                      <w:rFonts w:ascii="仿宋_GB2312" w:hAnsi="仿宋_GB2312" w:cs="仿宋_GB2312" w:eastAsia="仿宋_GB2312"/>
                      <w:sz w:val="24"/>
                      <w:b/>
                    </w:rPr>
                    <w:t>单位</w:t>
                  </w:r>
                </w:p>
              </w:tc>
              <w:tc>
                <w:tcPr>
                  <w:tcW w:type="dxa" w:w="237"/>
                  <w:tcBorders>
                    <w:top w:val="single" w:color="000000" w:sz="4"/>
                    <w:left w:val="none" w:color="000000" w:sz="4"/>
                    <w:bottom w:val="single" w:color="000000" w:sz="4"/>
                    <w:right w:val="single" w:color="000000" w:sz="4"/>
                  </w:tcBorders>
                  <w:shd w:fill="BDD7EE"/>
                  <w:tcMar>
                    <w:top w:type="dxa" w:w="0"/>
                    <w:left w:type="dxa" w:w="105"/>
                    <w:bottom w:type="dxa" w:w="0"/>
                    <w:right w:type="dxa" w:w="105"/>
                  </w:tcMar>
                </w:tcPr>
                <w:p>
                  <w:pPr>
                    <w:pStyle w:val="null3"/>
                    <w:jc w:val="center"/>
                  </w:pPr>
                  <w:r>
                    <w:rPr>
                      <w:rFonts w:ascii="仿宋_GB2312" w:hAnsi="仿宋_GB2312" w:cs="仿宋_GB2312" w:eastAsia="仿宋_GB2312"/>
                      <w:sz w:val="24"/>
                      <w:b/>
                    </w:rPr>
                    <w:t>数量</w:t>
                  </w:r>
                </w:p>
              </w:tc>
            </w:tr>
            <w:tr>
              <w:tc>
                <w:tcPr>
                  <w:tcW w:type="dxa" w:w="203"/>
                  <w:tcBorders>
                    <w:top w:val="none" w:color="000000" w:sz="4"/>
                    <w:left w:val="singl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4"/>
                      <w:color w:val="000000"/>
                    </w:rPr>
                    <w:t>4.1</w:t>
                  </w:r>
                </w:p>
              </w:tc>
              <w:tc>
                <w:tcPr>
                  <w:tcW w:type="dxa" w:w="619"/>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4"/>
                      <w:color w:val="000000"/>
                    </w:rPr>
                    <w:t>USP</w:t>
                  </w:r>
                  <w:r>
                    <w:rPr>
                      <w:rFonts w:ascii="仿宋_GB2312" w:hAnsi="仿宋_GB2312" w:cs="仿宋_GB2312" w:eastAsia="仿宋_GB2312"/>
                      <w:sz w:val="24"/>
                      <w:color w:val="000000"/>
                    </w:rPr>
                    <w:t>部分</w:t>
                  </w:r>
                </w:p>
              </w:tc>
              <w:tc>
                <w:tcPr>
                  <w:tcW w:type="dxa" w:w="1288"/>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1"/>
                    </w:rPr>
                    <w:t>　</w:t>
                  </w:r>
                </w:p>
              </w:tc>
              <w:tc>
                <w:tcPr>
                  <w:tcW w:type="dxa" w:w="203"/>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1"/>
                    </w:rPr>
                    <w:t>　</w:t>
                  </w:r>
                </w:p>
              </w:tc>
              <w:tc>
                <w:tcPr>
                  <w:tcW w:type="dxa" w:w="237"/>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1"/>
                    </w:rPr>
                    <w:t>　</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UPS</w:t>
                  </w:r>
                  <w:r>
                    <w:rPr>
                      <w:rFonts w:ascii="仿宋_GB2312" w:hAnsi="仿宋_GB2312" w:cs="仿宋_GB2312" w:eastAsia="仿宋_GB2312"/>
                      <w:sz w:val="24"/>
                      <w:color w:val="000000"/>
                    </w:rPr>
                    <w:t>（利旧）</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原有UPS安装及调试等</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203"/>
                  <w:tcBorders>
                    <w:top w:val="none" w:color="000000" w:sz="4"/>
                    <w:left w:val="singl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4"/>
                      <w:color w:val="000000"/>
                    </w:rPr>
                    <w:t>4.2</w:t>
                  </w:r>
                </w:p>
              </w:tc>
              <w:tc>
                <w:tcPr>
                  <w:tcW w:type="dxa" w:w="619"/>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4"/>
                      <w:color w:val="000000"/>
                    </w:rPr>
                    <w:t>UPS</w:t>
                  </w:r>
                  <w:r>
                    <w:rPr>
                      <w:rFonts w:ascii="仿宋_GB2312" w:hAnsi="仿宋_GB2312" w:cs="仿宋_GB2312" w:eastAsia="仿宋_GB2312"/>
                      <w:sz w:val="24"/>
                      <w:color w:val="000000"/>
                    </w:rPr>
                    <w:t>蓄电池部分</w:t>
                  </w:r>
                </w:p>
              </w:tc>
              <w:tc>
                <w:tcPr>
                  <w:tcW w:type="dxa" w:w="1288"/>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1"/>
                    </w:rPr>
                    <w:t>　</w:t>
                  </w:r>
                </w:p>
              </w:tc>
              <w:tc>
                <w:tcPr>
                  <w:tcW w:type="dxa" w:w="203"/>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center"/>
                  </w:pPr>
                </w:p>
              </w:tc>
              <w:tc>
                <w:tcPr>
                  <w:tcW w:type="dxa" w:w="237"/>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蓄电池（利旧）</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原有电池安装及调试等，电池之间连接线缆利旧</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节</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64</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2</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电池柜（利旧）</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　</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3</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电池柜支架</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L50</w:t>
                  </w:r>
                  <w:r>
                    <w:rPr>
                      <w:rFonts w:ascii="仿宋_GB2312" w:hAnsi="仿宋_GB2312" w:cs="仿宋_GB2312" w:eastAsia="仿宋_GB2312"/>
                      <w:sz w:val="24"/>
                      <w:color w:val="000000"/>
                    </w:rPr>
                    <w:t>焊接</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个</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4</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电池开关箱（利旧）</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　</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bl>
          <w:p>
            <w:pPr>
              <w:pStyle w:val="null3"/>
              <w:numPr>
                <w:ilvl w:val="0"/>
                <w:numId w:val="1"/>
              </w:numPr>
            </w:pPr>
            <w:r>
              <w:rPr>
                <w:rFonts w:ascii="仿宋_GB2312" w:hAnsi="仿宋_GB2312" w:cs="仿宋_GB2312" w:eastAsia="仿宋_GB2312"/>
                <w:sz w:val="24"/>
              </w:rPr>
              <w:t>机房精密空调系统</w:t>
            </w:r>
          </w:p>
          <w:tbl>
            <w:tblPr>
              <w:tblBorders>
                <w:top w:val="single"/>
                <w:left w:val="single"/>
                <w:bottom w:val="single"/>
                <w:right w:val="single"/>
                <w:insideH w:val="single"/>
                <w:insideV w:val="single"/>
              </w:tblBorders>
            </w:tblPr>
            <w:tblGrid>
              <w:gridCol w:w="196"/>
              <w:gridCol w:w="651"/>
              <w:gridCol w:w="1200"/>
              <w:gridCol w:w="233"/>
              <w:gridCol w:w="270"/>
            </w:tblGrid>
            <w:tr>
              <w:tc>
                <w:tcPr>
                  <w:tcW w:type="dxa" w:w="196"/>
                  <w:tcBorders>
                    <w:top w:val="single" w:color="000000" w:sz="4"/>
                    <w:left w:val="single" w:color="000000" w:sz="4"/>
                    <w:bottom w:val="single" w:color="000000" w:sz="4"/>
                    <w:right w:val="single" w:color="000000" w:sz="4"/>
                  </w:tcBorders>
                  <w:shd w:fill="BDD7EE"/>
                  <w:tcMar>
                    <w:top w:type="dxa" w:w="0"/>
                    <w:left w:type="dxa" w:w="105"/>
                    <w:bottom w:type="dxa" w:w="0"/>
                    <w:right w:type="dxa" w:w="105"/>
                  </w:tcMar>
                </w:tcPr>
                <w:p>
                  <w:pPr>
                    <w:pStyle w:val="null3"/>
                    <w:jc w:val="center"/>
                  </w:pPr>
                  <w:r>
                    <w:rPr>
                      <w:rFonts w:ascii="仿宋_GB2312" w:hAnsi="仿宋_GB2312" w:cs="仿宋_GB2312" w:eastAsia="仿宋_GB2312"/>
                      <w:sz w:val="24"/>
                      <w:b/>
                    </w:rPr>
                    <w:t>序号</w:t>
                  </w:r>
                </w:p>
              </w:tc>
              <w:tc>
                <w:tcPr>
                  <w:tcW w:type="dxa" w:w="651"/>
                  <w:tcBorders>
                    <w:top w:val="single" w:color="000000" w:sz="4"/>
                    <w:left w:val="none" w:color="000000" w:sz="4"/>
                    <w:bottom w:val="single" w:color="000000" w:sz="4"/>
                    <w:right w:val="single" w:color="000000" w:sz="4"/>
                  </w:tcBorders>
                  <w:shd w:fill="BDD7EE"/>
                  <w:tcMar>
                    <w:top w:type="dxa" w:w="0"/>
                    <w:left w:type="dxa" w:w="105"/>
                    <w:bottom w:type="dxa" w:w="0"/>
                    <w:right w:type="dxa" w:w="105"/>
                  </w:tcMar>
                </w:tcPr>
                <w:p>
                  <w:pPr>
                    <w:pStyle w:val="null3"/>
                    <w:jc w:val="center"/>
                  </w:pPr>
                  <w:r>
                    <w:rPr>
                      <w:rFonts w:ascii="仿宋_GB2312" w:hAnsi="仿宋_GB2312" w:cs="仿宋_GB2312" w:eastAsia="仿宋_GB2312"/>
                      <w:sz w:val="24"/>
                      <w:b/>
                    </w:rPr>
                    <w:t>设备材料名称</w:t>
                  </w:r>
                </w:p>
              </w:tc>
              <w:tc>
                <w:tcPr>
                  <w:tcW w:type="dxa" w:w="1200"/>
                  <w:tcBorders>
                    <w:top w:val="single" w:color="000000" w:sz="4"/>
                    <w:left w:val="none" w:color="000000" w:sz="4"/>
                    <w:bottom w:val="single" w:color="000000" w:sz="4"/>
                    <w:right w:val="single" w:color="000000" w:sz="4"/>
                  </w:tcBorders>
                  <w:shd w:fill="BDD7EE"/>
                  <w:tcMar>
                    <w:top w:type="dxa" w:w="0"/>
                    <w:left w:type="dxa" w:w="105"/>
                    <w:bottom w:type="dxa" w:w="0"/>
                    <w:right w:type="dxa" w:w="105"/>
                  </w:tcMar>
                </w:tcPr>
                <w:p>
                  <w:pPr>
                    <w:pStyle w:val="null3"/>
                    <w:jc w:val="center"/>
                  </w:pPr>
                  <w:r>
                    <w:rPr>
                      <w:rFonts w:ascii="仿宋_GB2312" w:hAnsi="仿宋_GB2312" w:cs="仿宋_GB2312" w:eastAsia="仿宋_GB2312"/>
                      <w:sz w:val="24"/>
                      <w:b/>
                    </w:rPr>
                    <w:t>规格</w:t>
                  </w:r>
                </w:p>
              </w:tc>
              <w:tc>
                <w:tcPr>
                  <w:tcW w:type="dxa" w:w="233"/>
                  <w:tcBorders>
                    <w:top w:val="single" w:color="000000" w:sz="4"/>
                    <w:left w:val="none" w:color="000000" w:sz="4"/>
                    <w:bottom w:val="single" w:color="000000" w:sz="4"/>
                    <w:right w:val="single" w:color="000000" w:sz="4"/>
                  </w:tcBorders>
                  <w:shd w:fill="BDD7EE"/>
                  <w:tcMar>
                    <w:top w:type="dxa" w:w="0"/>
                    <w:left w:type="dxa" w:w="105"/>
                    <w:bottom w:type="dxa" w:w="0"/>
                    <w:right w:type="dxa" w:w="105"/>
                  </w:tcMar>
                </w:tcPr>
                <w:p>
                  <w:pPr>
                    <w:pStyle w:val="null3"/>
                    <w:jc w:val="center"/>
                  </w:pPr>
                  <w:r>
                    <w:rPr>
                      <w:rFonts w:ascii="仿宋_GB2312" w:hAnsi="仿宋_GB2312" w:cs="仿宋_GB2312" w:eastAsia="仿宋_GB2312"/>
                      <w:sz w:val="24"/>
                      <w:b/>
                    </w:rPr>
                    <w:t>单位</w:t>
                  </w:r>
                </w:p>
              </w:tc>
              <w:tc>
                <w:tcPr>
                  <w:tcW w:type="dxa" w:w="270"/>
                  <w:tcBorders>
                    <w:top w:val="single" w:color="000000" w:sz="4"/>
                    <w:left w:val="none" w:color="000000" w:sz="4"/>
                    <w:bottom w:val="single" w:color="000000" w:sz="4"/>
                    <w:right w:val="single" w:color="000000" w:sz="4"/>
                  </w:tcBorders>
                  <w:shd w:fill="BDD7EE"/>
                  <w:tcMar>
                    <w:top w:type="dxa" w:w="0"/>
                    <w:left w:type="dxa" w:w="105"/>
                    <w:bottom w:type="dxa" w:w="0"/>
                    <w:right w:type="dxa" w:w="105"/>
                  </w:tcMar>
                </w:tcPr>
                <w:p>
                  <w:pPr>
                    <w:pStyle w:val="null3"/>
                    <w:jc w:val="center"/>
                  </w:pPr>
                  <w:r>
                    <w:rPr>
                      <w:rFonts w:ascii="仿宋_GB2312" w:hAnsi="仿宋_GB2312" w:cs="仿宋_GB2312" w:eastAsia="仿宋_GB2312"/>
                      <w:sz w:val="24"/>
                      <w:b/>
                    </w:rPr>
                    <w:t>数量</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列间空调</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）在机组回风工况37℃/24%RH下：制冷量40KW 前送风 风冷恒温恒湿 常温型 深1.2米；</w:t>
                  </w:r>
                  <w:r>
                    <w:br/>
                  </w:r>
                  <w:r>
                    <w:rPr>
                      <w:rFonts w:ascii="仿宋_GB2312" w:hAnsi="仿宋_GB2312" w:cs="仿宋_GB2312" w:eastAsia="仿宋_GB2312"/>
                      <w:sz w:val="24"/>
                    </w:rPr>
                    <w:t xml:space="preserve"> 2) 触摸屏</w:t>
                  </w:r>
                  <w:r>
                    <w:br/>
                  </w:r>
                  <w:r>
                    <w:rPr>
                      <w:rFonts w:ascii="仿宋_GB2312" w:hAnsi="仿宋_GB2312" w:cs="仿宋_GB2312" w:eastAsia="仿宋_GB2312"/>
                      <w:sz w:val="24"/>
                    </w:rPr>
                    <w:t xml:space="preserve"> 3）循环风量为8500m³ ；</w:t>
                  </w:r>
                  <w:r>
                    <w:br/>
                  </w:r>
                  <w:r>
                    <w:rPr>
                      <w:rFonts w:ascii="仿宋_GB2312" w:hAnsi="仿宋_GB2312" w:cs="仿宋_GB2312" w:eastAsia="仿宋_GB2312"/>
                      <w:sz w:val="24"/>
                    </w:rPr>
                    <w:t xml:space="preserve"> 4）加热能力为6KW ；</w:t>
                  </w:r>
                  <w:r>
                    <w:br/>
                  </w:r>
                  <w:r>
                    <w:rPr>
                      <w:rFonts w:ascii="仿宋_GB2312" w:hAnsi="仿宋_GB2312" w:cs="仿宋_GB2312" w:eastAsia="仿宋_GB2312"/>
                      <w:sz w:val="24"/>
                    </w:rPr>
                    <w:t xml:space="preserve"> 5）加湿能力为3KG/H；</w:t>
                  </w:r>
                  <w:r>
                    <w:br/>
                  </w:r>
                  <w:r>
                    <w:rPr>
                      <w:rFonts w:ascii="仿宋_GB2312" w:hAnsi="仿宋_GB2312" w:cs="仿宋_GB2312" w:eastAsia="仿宋_GB2312"/>
                      <w:sz w:val="24"/>
                    </w:rPr>
                    <w:t xml:space="preserve"> 6）机组尺寸为600*1200*2000；</w:t>
                  </w:r>
                  <w:r>
                    <w:br/>
                  </w:r>
                  <w:r>
                    <w:rPr>
                      <w:rFonts w:ascii="仿宋_GB2312" w:hAnsi="仿宋_GB2312" w:cs="仿宋_GB2312" w:eastAsia="仿宋_GB2312"/>
                      <w:sz w:val="24"/>
                    </w:rPr>
                    <w:t xml:space="preserve"> 7）采用R410a环保制冷剂，直流变频压缩机，压缩机内置；</w:t>
                  </w:r>
                  <w:r>
                    <w:br/>
                  </w:r>
                  <w:r>
                    <w:rPr>
                      <w:rFonts w:ascii="仿宋_GB2312" w:hAnsi="仿宋_GB2312" w:cs="仿宋_GB2312" w:eastAsia="仿宋_GB2312"/>
                      <w:sz w:val="24"/>
                    </w:rPr>
                    <w:t xml:space="preserve"> 8）采用电子换向同步EC电机节能20%~30%</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2</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精密空调室内机支架</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L50</w:t>
                  </w:r>
                  <w:r>
                    <w:rPr>
                      <w:rFonts w:ascii="仿宋_GB2312" w:hAnsi="仿宋_GB2312" w:cs="仿宋_GB2312" w:eastAsia="仿宋_GB2312"/>
                      <w:sz w:val="24"/>
                      <w:color w:val="000000"/>
                    </w:rPr>
                    <w:t>角钢焊接</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个</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3</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精密空调室外机支架</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L50</w:t>
                  </w:r>
                  <w:r>
                    <w:rPr>
                      <w:rFonts w:ascii="仿宋_GB2312" w:hAnsi="仿宋_GB2312" w:cs="仿宋_GB2312" w:eastAsia="仿宋_GB2312"/>
                      <w:sz w:val="24"/>
                      <w:color w:val="000000"/>
                    </w:rPr>
                    <w:t>角钢焊接</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个</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4</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安装辅材</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含铜管、水管、保温、阀门、信号线、内外机电源线、冷媒等安装所需要的辅材</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项</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bl>
          <w:p>
            <w:pPr>
              <w:pStyle w:val="null3"/>
              <w:numPr>
                <w:ilvl w:val="0"/>
                <w:numId w:val="1"/>
              </w:numPr>
              <w:ind w:firstLine="480"/>
            </w:pPr>
            <w:r>
              <w:rPr>
                <w:rFonts w:ascii="仿宋_GB2312" w:hAnsi="仿宋_GB2312" w:cs="仿宋_GB2312" w:eastAsia="仿宋_GB2312"/>
                <w:sz w:val="24"/>
              </w:rPr>
              <w:t>机房机柜系统</w:t>
            </w:r>
          </w:p>
          <w:tbl>
            <w:tblPr>
              <w:tblBorders>
                <w:top w:val="single"/>
                <w:left w:val="single"/>
                <w:bottom w:val="single"/>
                <w:right w:val="single"/>
                <w:insideH w:val="single"/>
                <w:insideV w:val="single"/>
              </w:tblBorders>
            </w:tblPr>
            <w:tblGrid>
              <w:gridCol w:w="199"/>
              <w:gridCol w:w="491"/>
              <w:gridCol w:w="1353"/>
              <w:gridCol w:w="243"/>
              <w:gridCol w:w="264"/>
            </w:tblGrid>
            <w:tr>
              <w:tc>
                <w:tcPr>
                  <w:tcW w:type="dxa" w:w="199"/>
                  <w:tcBorders>
                    <w:top w:val="single" w:color="000000" w:sz="4"/>
                    <w:left w:val="single" w:color="000000" w:sz="4"/>
                    <w:bottom w:val="single" w:color="000000" w:sz="4"/>
                    <w:right w:val="single" w:color="000000" w:sz="4"/>
                  </w:tcBorders>
                  <w:shd w:fill="BDD7EE"/>
                  <w:tcMar>
                    <w:top w:type="dxa" w:w="0"/>
                    <w:left w:type="dxa" w:w="105"/>
                    <w:bottom w:type="dxa" w:w="0"/>
                    <w:right w:type="dxa" w:w="105"/>
                  </w:tcMar>
                </w:tcPr>
                <w:p>
                  <w:pPr>
                    <w:pStyle w:val="null3"/>
                    <w:jc w:val="center"/>
                  </w:pPr>
                  <w:r>
                    <w:rPr>
                      <w:rFonts w:ascii="仿宋_GB2312" w:hAnsi="仿宋_GB2312" w:cs="仿宋_GB2312" w:eastAsia="仿宋_GB2312"/>
                      <w:sz w:val="24"/>
                      <w:b/>
                    </w:rPr>
                    <w:t>序号</w:t>
                  </w:r>
                </w:p>
              </w:tc>
              <w:tc>
                <w:tcPr>
                  <w:tcW w:type="dxa" w:w="491"/>
                  <w:tcBorders>
                    <w:top w:val="single" w:color="000000" w:sz="4"/>
                    <w:left w:val="none" w:color="000000" w:sz="4"/>
                    <w:bottom w:val="single" w:color="000000" w:sz="4"/>
                    <w:right w:val="single" w:color="000000" w:sz="4"/>
                  </w:tcBorders>
                  <w:shd w:fill="BDD7EE"/>
                  <w:tcMar>
                    <w:top w:type="dxa" w:w="0"/>
                    <w:left w:type="dxa" w:w="105"/>
                    <w:bottom w:type="dxa" w:w="0"/>
                    <w:right w:type="dxa" w:w="105"/>
                  </w:tcMar>
                </w:tcPr>
                <w:p>
                  <w:pPr>
                    <w:pStyle w:val="null3"/>
                    <w:jc w:val="center"/>
                  </w:pPr>
                  <w:r>
                    <w:rPr>
                      <w:rFonts w:ascii="仿宋_GB2312" w:hAnsi="仿宋_GB2312" w:cs="仿宋_GB2312" w:eastAsia="仿宋_GB2312"/>
                      <w:sz w:val="24"/>
                      <w:b/>
                    </w:rPr>
                    <w:t>设备材料名称</w:t>
                  </w:r>
                </w:p>
              </w:tc>
              <w:tc>
                <w:tcPr>
                  <w:tcW w:type="dxa" w:w="1353"/>
                  <w:tcBorders>
                    <w:top w:val="single" w:color="000000" w:sz="4"/>
                    <w:left w:val="none" w:color="000000" w:sz="4"/>
                    <w:bottom w:val="single" w:color="000000" w:sz="4"/>
                    <w:right w:val="single" w:color="000000" w:sz="4"/>
                  </w:tcBorders>
                  <w:shd w:fill="BDD7EE"/>
                  <w:tcMar>
                    <w:top w:type="dxa" w:w="0"/>
                    <w:left w:type="dxa" w:w="105"/>
                    <w:bottom w:type="dxa" w:w="0"/>
                    <w:right w:type="dxa" w:w="105"/>
                  </w:tcMar>
                </w:tcPr>
                <w:p>
                  <w:pPr>
                    <w:pStyle w:val="null3"/>
                    <w:jc w:val="center"/>
                  </w:pPr>
                  <w:r>
                    <w:rPr>
                      <w:rFonts w:ascii="仿宋_GB2312" w:hAnsi="仿宋_GB2312" w:cs="仿宋_GB2312" w:eastAsia="仿宋_GB2312"/>
                      <w:sz w:val="24"/>
                      <w:b/>
                    </w:rPr>
                    <w:t>规格</w:t>
                  </w:r>
                </w:p>
              </w:tc>
              <w:tc>
                <w:tcPr>
                  <w:tcW w:type="dxa" w:w="243"/>
                  <w:tcBorders>
                    <w:top w:val="single" w:color="000000" w:sz="4"/>
                    <w:left w:val="none" w:color="000000" w:sz="4"/>
                    <w:bottom w:val="single" w:color="000000" w:sz="4"/>
                    <w:right w:val="single" w:color="000000" w:sz="4"/>
                  </w:tcBorders>
                  <w:shd w:fill="BDD7EE"/>
                  <w:tcMar>
                    <w:top w:type="dxa" w:w="0"/>
                    <w:left w:type="dxa" w:w="105"/>
                    <w:bottom w:type="dxa" w:w="0"/>
                    <w:right w:type="dxa" w:w="105"/>
                  </w:tcMar>
                </w:tcPr>
                <w:p>
                  <w:pPr>
                    <w:pStyle w:val="null3"/>
                    <w:jc w:val="center"/>
                  </w:pPr>
                  <w:r>
                    <w:rPr>
                      <w:rFonts w:ascii="仿宋_GB2312" w:hAnsi="仿宋_GB2312" w:cs="仿宋_GB2312" w:eastAsia="仿宋_GB2312"/>
                      <w:sz w:val="24"/>
                      <w:b/>
                    </w:rPr>
                    <w:t>单位</w:t>
                  </w:r>
                </w:p>
              </w:tc>
              <w:tc>
                <w:tcPr>
                  <w:tcW w:type="dxa" w:w="264"/>
                  <w:tcBorders>
                    <w:top w:val="single" w:color="000000" w:sz="4"/>
                    <w:left w:val="none" w:color="000000" w:sz="4"/>
                    <w:bottom w:val="single" w:color="000000" w:sz="4"/>
                    <w:right w:val="single" w:color="000000" w:sz="4"/>
                  </w:tcBorders>
                  <w:shd w:fill="BDD7EE"/>
                  <w:tcMar>
                    <w:top w:type="dxa" w:w="0"/>
                    <w:left w:type="dxa" w:w="105"/>
                    <w:bottom w:type="dxa" w:w="0"/>
                    <w:right w:type="dxa" w:w="105"/>
                  </w:tcMar>
                </w:tcPr>
                <w:p>
                  <w:pPr>
                    <w:pStyle w:val="null3"/>
                    <w:jc w:val="center"/>
                  </w:pPr>
                  <w:r>
                    <w:rPr>
                      <w:rFonts w:ascii="仿宋_GB2312" w:hAnsi="仿宋_GB2312" w:cs="仿宋_GB2312" w:eastAsia="仿宋_GB2312"/>
                      <w:sz w:val="24"/>
                      <w:b/>
                    </w:rPr>
                    <w:t>数量</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服务器机柜</w:t>
                  </w:r>
                </w:p>
              </w:tc>
              <w:tc>
                <w:tcPr>
                  <w:tcW w:type="dxa" w:w="13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rPr>
                    <w:t>600*1200*2000mm</w:t>
                  </w:r>
                  <w:r>
                    <w:rPr>
                      <w:rFonts w:ascii="仿宋_GB2312" w:hAnsi="仿宋_GB2312" w:cs="仿宋_GB2312" w:eastAsia="仿宋_GB2312"/>
                      <w:sz w:val="24"/>
                    </w:rPr>
                    <w:t>机柜</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 xml:space="preserve"> 2）机柜静态承载能力≥2700kg，提供第三方检测报告</w:t>
                  </w:r>
                  <w:r>
                    <w:br/>
                  </w:r>
                  <w:r>
                    <w:rPr>
                      <w:rFonts w:ascii="仿宋_GB2312" w:hAnsi="仿宋_GB2312" w:cs="仿宋_GB2312" w:eastAsia="仿宋_GB2312"/>
                      <w:sz w:val="24"/>
                      <w:color w:val="000000"/>
                    </w:rPr>
                    <w:t xml:space="preserve"> 3）符合标准：IEC60297-2,GB/T3047.2-92,YDT2319-2011,兼容19"国际标准，ETSL标准。</w:t>
                  </w:r>
                  <w:r>
                    <w:br/>
                  </w:r>
                  <w:r>
                    <w:rPr>
                      <w:rFonts w:ascii="仿宋_GB2312" w:hAnsi="仿宋_GB2312" w:cs="仿宋_GB2312" w:eastAsia="仿宋_GB2312"/>
                      <w:sz w:val="24"/>
                      <w:color w:val="000000"/>
                    </w:rPr>
                    <w:t xml:space="preserve"> 4）带输入32A,含接线盒,1P总断路器与指示灯,20位10A国标,4位16A国标三扁插座,左侧垂直安装每台2个</w:t>
                  </w:r>
                  <w:r>
                    <w:br/>
                  </w:r>
                  <w:r>
                    <w:rPr>
                      <w:rFonts w:ascii="仿宋_GB2312" w:hAnsi="仿宋_GB2312" w:cs="仿宋_GB2312" w:eastAsia="仿宋_GB2312"/>
                      <w:sz w:val="24"/>
                      <w:color w:val="000000"/>
                    </w:rPr>
                    <w:t xml:space="preserve"> 5）高密度大面积六角网孔前后门，前门单开，后门双开</w:t>
                  </w:r>
                  <w:r>
                    <w:br/>
                  </w:r>
                  <w:r>
                    <w:rPr>
                      <w:rFonts w:ascii="仿宋_GB2312" w:hAnsi="仿宋_GB2312" w:cs="仿宋_GB2312" w:eastAsia="仿宋_GB2312"/>
                      <w:sz w:val="24"/>
                      <w:color w:val="000000"/>
                    </w:rPr>
                    <w:t xml:space="preserve"> 6）机柜前后门开孔率≧76%</w:t>
                  </w:r>
                  <w:r>
                    <w:br/>
                  </w:r>
                  <w:r>
                    <w:rPr>
                      <w:rFonts w:ascii="仿宋_GB2312" w:hAnsi="仿宋_GB2312" w:cs="仿宋_GB2312" w:eastAsia="仿宋_GB2312"/>
                      <w:sz w:val="24"/>
                      <w:color w:val="000000"/>
                    </w:rPr>
                    <w:t xml:space="preserve"> 7）机柜内设4根安装U立柱，表面丝印有防腐蚀RMU刻度，方便用户并快速对位安装设备、导轨或固定承板；U立柱可前后调整，方便服务器及网络设备安装；</w:t>
                  </w:r>
                  <w:r>
                    <w:br/>
                  </w:r>
                  <w:r>
                    <w:rPr>
                      <w:rFonts w:ascii="仿宋_GB2312" w:hAnsi="仿宋_GB2312" w:cs="仿宋_GB2312" w:eastAsia="仿宋_GB2312"/>
                      <w:sz w:val="24"/>
                      <w:color w:val="000000"/>
                    </w:rPr>
                    <w:t xml:space="preserve"> 8）满足8，9级烈度要求。提供第三方检测报告、机柜侧门板、理线托盘</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11</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通道视频安防图像采集系统</w:t>
                  </w:r>
                </w:p>
              </w:tc>
              <w:tc>
                <w:tcPr>
                  <w:tcW w:type="dxa" w:w="13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含:智能</w:t>
                  </w:r>
                  <w:r>
                    <w:rPr>
                      <w:rFonts w:ascii="仿宋_GB2312" w:hAnsi="仿宋_GB2312" w:cs="仿宋_GB2312" w:eastAsia="仿宋_GB2312"/>
                      <w:sz w:val="24"/>
                    </w:rPr>
                    <w:t>PAD</w:t>
                  </w:r>
                  <w:r>
                    <w:rPr>
                      <w:rFonts w:ascii="仿宋_GB2312" w:hAnsi="仿宋_GB2312" w:cs="仿宋_GB2312" w:eastAsia="仿宋_GB2312"/>
                      <w:sz w:val="24"/>
                    </w:rPr>
                    <w:t>、天</w:t>
                  </w:r>
                  <w:r>
                    <w:rPr>
                      <w:rFonts w:ascii="仿宋_GB2312" w:hAnsi="仿宋_GB2312" w:cs="仿宋_GB2312" w:eastAsia="仿宋_GB2312"/>
                      <w:sz w:val="24"/>
                      <w:color w:val="000000"/>
                    </w:rPr>
                    <w:t>窗磁力锁、通道级照明灯、出门按钮、指纹/密码/刷卡门禁系统、多功能传感器(烟感/温度/湿度检测)、非定位式水浸传感器、非定位式水浸传感器检测绳5米、温湿度传感器、蜂鸣器</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组</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模块化机房通道组件系统</w:t>
                  </w:r>
                </w:p>
              </w:tc>
              <w:tc>
                <w:tcPr>
                  <w:tcW w:type="dxa" w:w="13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含:600mm/300mm宽控制天窗、600mm/300mm宽玻璃天窗、100mm深围框、600mm宽走线槽2套、PAD安装支架、机柜前后封板4块、600mm宽机柜顶部围板2块、2000mm高电动推拉门、氛围灯、眉头横屏不小于40寸。</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组</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机柜支架</w:t>
                  </w:r>
                </w:p>
              </w:tc>
              <w:tc>
                <w:tcPr>
                  <w:tcW w:type="dxa" w:w="13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　</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套</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16</w:t>
                  </w:r>
                </w:p>
              </w:tc>
            </w:tr>
          </w:tbl>
          <w:p>
            <w:pPr>
              <w:pStyle w:val="null3"/>
              <w:numPr>
                <w:ilvl w:val="0"/>
                <w:numId w:val="1"/>
              </w:numPr>
              <w:ind w:firstLine="480"/>
            </w:pPr>
            <w:r>
              <w:rPr>
                <w:rFonts w:ascii="仿宋_GB2312" w:hAnsi="仿宋_GB2312" w:cs="仿宋_GB2312" w:eastAsia="仿宋_GB2312"/>
                <w:sz w:val="24"/>
              </w:rPr>
              <w:t>机房集中视频安防图像采集系统</w:t>
            </w:r>
          </w:p>
          <w:tbl>
            <w:tblPr>
              <w:tblBorders>
                <w:top w:val="single"/>
                <w:left w:val="single"/>
                <w:bottom w:val="single"/>
                <w:right w:val="single"/>
                <w:insideH w:val="single"/>
                <w:insideV w:val="single"/>
              </w:tblBorders>
            </w:tblPr>
            <w:tblGrid>
              <w:gridCol w:w="235"/>
              <w:gridCol w:w="776"/>
              <w:gridCol w:w="1214"/>
              <w:gridCol w:w="163"/>
              <w:gridCol w:w="163"/>
            </w:tblGrid>
            <w:tr>
              <w:tc>
                <w:tcPr>
                  <w:tcW w:type="dxa" w:w="235"/>
                  <w:tcBorders>
                    <w:top w:val="single" w:color="000000" w:sz="4"/>
                    <w:left w:val="single" w:color="000000" w:sz="4"/>
                    <w:bottom w:val="single" w:color="000000" w:sz="4"/>
                    <w:right w:val="single" w:color="000000" w:sz="4"/>
                  </w:tcBorders>
                  <w:shd w:fill="BDD7EE"/>
                  <w:tcMar>
                    <w:top w:type="dxa" w:w="0"/>
                    <w:left w:type="dxa" w:w="105"/>
                    <w:bottom w:type="dxa" w:w="0"/>
                    <w:right w:type="dxa" w:w="105"/>
                  </w:tcMar>
                </w:tcPr>
                <w:p>
                  <w:pPr>
                    <w:pStyle w:val="null3"/>
                    <w:jc w:val="left"/>
                  </w:pPr>
                  <w:r>
                    <w:rPr>
                      <w:rFonts w:ascii="仿宋_GB2312" w:hAnsi="仿宋_GB2312" w:cs="仿宋_GB2312" w:eastAsia="仿宋_GB2312"/>
                      <w:sz w:val="24"/>
                      <w:b/>
                      <w:color w:val="000000"/>
                    </w:rPr>
                    <w:t>序号</w:t>
                  </w:r>
                </w:p>
              </w:tc>
              <w:tc>
                <w:tcPr>
                  <w:tcW w:type="dxa" w:w="776"/>
                  <w:tcBorders>
                    <w:top w:val="single" w:color="000000" w:sz="4"/>
                    <w:left w:val="none" w:color="000000" w:sz="4"/>
                    <w:bottom w:val="single" w:color="000000" w:sz="4"/>
                    <w:right w:val="single" w:color="000000" w:sz="4"/>
                  </w:tcBorders>
                  <w:shd w:fill="BDD7EE"/>
                  <w:tcMar>
                    <w:top w:type="dxa" w:w="0"/>
                    <w:left w:type="dxa" w:w="105"/>
                    <w:bottom w:type="dxa" w:w="0"/>
                    <w:right w:type="dxa" w:w="105"/>
                  </w:tcMar>
                </w:tcPr>
                <w:p>
                  <w:pPr>
                    <w:pStyle w:val="null3"/>
                    <w:jc w:val="left"/>
                  </w:pPr>
                  <w:r>
                    <w:rPr>
                      <w:rFonts w:ascii="仿宋_GB2312" w:hAnsi="仿宋_GB2312" w:cs="仿宋_GB2312" w:eastAsia="仿宋_GB2312"/>
                      <w:sz w:val="24"/>
                      <w:b/>
                      <w:color w:val="000000"/>
                    </w:rPr>
                    <w:t>设备材料名称</w:t>
                  </w:r>
                </w:p>
              </w:tc>
              <w:tc>
                <w:tcPr>
                  <w:tcW w:type="dxa" w:w="1214"/>
                  <w:tcBorders>
                    <w:top w:val="single" w:color="000000" w:sz="4"/>
                    <w:left w:val="none" w:color="000000" w:sz="4"/>
                    <w:bottom w:val="single" w:color="000000" w:sz="4"/>
                    <w:right w:val="single" w:color="000000" w:sz="4"/>
                  </w:tcBorders>
                  <w:shd w:fill="BDD7EE"/>
                  <w:tcMar>
                    <w:top w:type="dxa" w:w="0"/>
                    <w:left w:type="dxa" w:w="105"/>
                    <w:bottom w:type="dxa" w:w="0"/>
                    <w:right w:type="dxa" w:w="105"/>
                  </w:tcMar>
                </w:tcPr>
                <w:p>
                  <w:pPr>
                    <w:pStyle w:val="null3"/>
                    <w:jc w:val="left"/>
                  </w:pPr>
                  <w:r>
                    <w:rPr>
                      <w:rFonts w:ascii="仿宋_GB2312" w:hAnsi="仿宋_GB2312" w:cs="仿宋_GB2312" w:eastAsia="仿宋_GB2312"/>
                      <w:sz w:val="24"/>
                      <w:b/>
                      <w:color w:val="000000"/>
                    </w:rPr>
                    <w:t>规格</w:t>
                  </w:r>
                </w:p>
              </w:tc>
              <w:tc>
                <w:tcPr>
                  <w:tcW w:type="dxa" w:w="163"/>
                  <w:tcBorders>
                    <w:top w:val="single" w:color="000000" w:sz="4"/>
                    <w:left w:val="none" w:color="000000" w:sz="4"/>
                    <w:bottom w:val="single" w:color="000000" w:sz="4"/>
                    <w:right w:val="single" w:color="000000" w:sz="4"/>
                  </w:tcBorders>
                  <w:shd w:fill="BDD7EE"/>
                  <w:tcMar>
                    <w:top w:type="dxa" w:w="0"/>
                    <w:left w:type="dxa" w:w="105"/>
                    <w:bottom w:type="dxa" w:w="0"/>
                    <w:right w:type="dxa" w:w="105"/>
                  </w:tcMar>
                </w:tcPr>
                <w:p>
                  <w:pPr>
                    <w:pStyle w:val="null3"/>
                    <w:jc w:val="left"/>
                  </w:pPr>
                  <w:r>
                    <w:rPr>
                      <w:rFonts w:ascii="仿宋_GB2312" w:hAnsi="仿宋_GB2312" w:cs="仿宋_GB2312" w:eastAsia="仿宋_GB2312"/>
                      <w:sz w:val="24"/>
                      <w:b/>
                      <w:color w:val="000000"/>
                    </w:rPr>
                    <w:t>单位</w:t>
                  </w:r>
                </w:p>
              </w:tc>
              <w:tc>
                <w:tcPr>
                  <w:tcW w:type="dxa" w:w="163"/>
                  <w:tcBorders>
                    <w:top w:val="single" w:color="000000" w:sz="4"/>
                    <w:left w:val="none" w:color="000000" w:sz="4"/>
                    <w:bottom w:val="single" w:color="000000" w:sz="4"/>
                    <w:right w:val="single" w:color="000000" w:sz="4"/>
                  </w:tcBorders>
                  <w:shd w:fill="BDD7EE"/>
                  <w:tcMar>
                    <w:top w:type="dxa" w:w="0"/>
                    <w:left w:type="dxa" w:w="105"/>
                    <w:bottom w:type="dxa" w:w="0"/>
                    <w:right w:type="dxa" w:w="105"/>
                  </w:tcMar>
                </w:tcPr>
                <w:p>
                  <w:pPr>
                    <w:pStyle w:val="null3"/>
                    <w:jc w:val="left"/>
                  </w:pPr>
                  <w:r>
                    <w:rPr>
                      <w:rFonts w:ascii="仿宋_GB2312" w:hAnsi="仿宋_GB2312" w:cs="仿宋_GB2312" w:eastAsia="仿宋_GB2312"/>
                      <w:sz w:val="24"/>
                      <w:b/>
                      <w:color w:val="000000"/>
                    </w:rPr>
                    <w:t>数量</w:t>
                  </w:r>
                </w:p>
              </w:tc>
            </w:tr>
            <w:tr>
              <w:tc>
                <w:tcPr>
                  <w:tcW w:type="dxa" w:w="235"/>
                  <w:tcBorders>
                    <w:top w:val="none" w:color="000000" w:sz="4"/>
                    <w:left w:val="singl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4"/>
                      <w:color w:val="000000"/>
                    </w:rPr>
                    <w:t>9.1</w:t>
                  </w:r>
                </w:p>
              </w:tc>
              <w:tc>
                <w:tcPr>
                  <w:tcW w:type="dxa" w:w="776"/>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4"/>
                      <w:color w:val="000000"/>
                    </w:rPr>
                    <w:t>温湿度监测</w:t>
                  </w:r>
                </w:p>
              </w:tc>
              <w:tc>
                <w:tcPr>
                  <w:tcW w:type="dxa" w:w="1214"/>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1"/>
                    </w:rPr>
                    <w:t>　</w:t>
                  </w:r>
                </w:p>
              </w:tc>
              <w:tc>
                <w:tcPr>
                  <w:tcW w:type="dxa" w:w="163"/>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1"/>
                    </w:rPr>
                    <w:t>　</w:t>
                  </w:r>
                </w:p>
              </w:tc>
              <w:tc>
                <w:tcPr>
                  <w:tcW w:type="dxa" w:w="163"/>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1"/>
                    </w:rPr>
                    <w:t>　</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温湿度传感器-带露点温度</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、通信端口: 向上提供一个RS485接口</w:t>
                  </w:r>
                  <w:r>
                    <w:br/>
                  </w:r>
                  <w:r>
                    <w:rPr>
                      <w:rFonts w:ascii="仿宋_GB2312" w:hAnsi="仿宋_GB2312" w:cs="仿宋_GB2312" w:eastAsia="仿宋_GB2312"/>
                      <w:sz w:val="24"/>
                      <w:color w:val="000000"/>
                    </w:rPr>
                    <w:t xml:space="preserve"> 2、采集温度范围:-20~70°C，典型精度士0.3°C ( 25°C)</w:t>
                  </w:r>
                  <w:r>
                    <w:br/>
                  </w:r>
                  <w:r>
                    <w:rPr>
                      <w:rFonts w:ascii="仿宋_GB2312" w:hAnsi="仿宋_GB2312" w:cs="仿宋_GB2312" w:eastAsia="仿宋_GB2312"/>
                      <w:sz w:val="24"/>
                      <w:color w:val="000000"/>
                    </w:rPr>
                    <w:t xml:space="preserve"> 3、采集湿度范围:5-95%RH，典型精度士3.0%(20~80%RH，25°C)</w:t>
                  </w:r>
                  <w:r>
                    <w:br/>
                  </w:r>
                  <w:r>
                    <w:rPr>
                      <w:rFonts w:ascii="仿宋_GB2312" w:hAnsi="仿宋_GB2312" w:cs="仿宋_GB2312" w:eastAsia="仿宋_GB2312"/>
                      <w:sz w:val="24"/>
                      <w:color w:val="000000"/>
                    </w:rPr>
                    <w:t xml:space="preserve"> 4、采集露点温度范围:-40~70°C，典型精度士0.3°C</w:t>
                  </w:r>
                  <w:r>
                    <w:br/>
                  </w:r>
                  <w:r>
                    <w:rPr>
                      <w:rFonts w:ascii="仿宋_GB2312" w:hAnsi="仿宋_GB2312" w:cs="仿宋_GB2312" w:eastAsia="仿宋_GB2312"/>
                      <w:sz w:val="24"/>
                      <w:color w:val="000000"/>
                    </w:rPr>
                    <w:t xml:space="preserve"> 5、工作电压:DC12V，可稳定工作电压范围:DC9~27V(带过流，过压，防雷，防反接，防短路保护)</w:t>
                  </w:r>
                  <w:r>
                    <w:br/>
                  </w:r>
                  <w:r>
                    <w:rPr>
                      <w:rFonts w:ascii="仿宋_GB2312" w:hAnsi="仿宋_GB2312" w:cs="仿宋_GB2312" w:eastAsia="仿宋_GB2312"/>
                      <w:sz w:val="24"/>
                      <w:color w:val="000000"/>
                    </w:rPr>
                    <w:t xml:space="preserve"> 6、额定电流:≤30mA</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个</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2</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温湿度软件</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数据中心动环监测系统</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套</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235"/>
                  <w:tcBorders>
                    <w:top w:val="none" w:color="000000" w:sz="4"/>
                    <w:left w:val="singl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4"/>
                      <w:color w:val="000000"/>
                    </w:rPr>
                    <w:t>9.2</w:t>
                  </w:r>
                </w:p>
              </w:tc>
              <w:tc>
                <w:tcPr>
                  <w:tcW w:type="dxa" w:w="776"/>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冷通道接入</w:t>
                  </w:r>
                </w:p>
              </w:tc>
              <w:tc>
                <w:tcPr>
                  <w:tcW w:type="dxa" w:w="1214"/>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1"/>
                    </w:rPr>
                    <w:t>　</w:t>
                  </w:r>
                </w:p>
              </w:tc>
              <w:tc>
                <w:tcPr>
                  <w:tcW w:type="dxa" w:w="163"/>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center"/>
                  </w:pPr>
                </w:p>
              </w:tc>
              <w:tc>
                <w:tcPr>
                  <w:tcW w:type="dxa" w:w="163"/>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通讯模块</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　</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个</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2</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微模块软件接入</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　</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项</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235"/>
                  <w:tcBorders>
                    <w:top w:val="none" w:color="000000" w:sz="4"/>
                    <w:left w:val="singl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4"/>
                      <w:color w:val="000000"/>
                    </w:rPr>
                    <w:t>9.3</w:t>
                  </w:r>
                </w:p>
              </w:tc>
              <w:tc>
                <w:tcPr>
                  <w:tcW w:type="dxa" w:w="776"/>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4"/>
                      <w:color w:val="000000"/>
                    </w:rPr>
                    <w:t>UPS</w:t>
                  </w:r>
                  <w:r>
                    <w:rPr>
                      <w:rFonts w:ascii="仿宋_GB2312" w:hAnsi="仿宋_GB2312" w:cs="仿宋_GB2312" w:eastAsia="仿宋_GB2312"/>
                      <w:sz w:val="24"/>
                      <w:color w:val="000000"/>
                    </w:rPr>
                    <w:t>监测</w:t>
                  </w:r>
                </w:p>
              </w:tc>
              <w:tc>
                <w:tcPr>
                  <w:tcW w:type="dxa" w:w="1214"/>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1"/>
                    </w:rPr>
                    <w:t>　</w:t>
                  </w:r>
                </w:p>
              </w:tc>
              <w:tc>
                <w:tcPr>
                  <w:tcW w:type="dxa" w:w="163"/>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center"/>
                  </w:pPr>
                </w:p>
              </w:tc>
              <w:tc>
                <w:tcPr>
                  <w:tcW w:type="dxa" w:w="163"/>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UPS</w:t>
                  </w:r>
                  <w:r>
                    <w:rPr>
                      <w:rFonts w:ascii="仿宋_GB2312" w:hAnsi="仿宋_GB2312" w:cs="仿宋_GB2312" w:eastAsia="仿宋_GB2312"/>
                      <w:sz w:val="24"/>
                      <w:color w:val="000000"/>
                    </w:rPr>
                    <w:t>监控软件配电柜监测</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数据中心动环监测系统</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套</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235"/>
                  <w:tcBorders>
                    <w:top w:val="none" w:color="000000" w:sz="4"/>
                    <w:left w:val="singl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4"/>
                      <w:color w:val="000000"/>
                    </w:rPr>
                    <w:t>9.4</w:t>
                  </w:r>
                </w:p>
              </w:tc>
              <w:tc>
                <w:tcPr>
                  <w:tcW w:type="dxa" w:w="776"/>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4"/>
                      <w:color w:val="000000"/>
                    </w:rPr>
                    <w:t>智能配电柜监测</w:t>
                  </w:r>
                </w:p>
              </w:tc>
              <w:tc>
                <w:tcPr>
                  <w:tcW w:type="dxa" w:w="1214"/>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1"/>
                    </w:rPr>
                    <w:t>　</w:t>
                  </w:r>
                </w:p>
              </w:tc>
              <w:tc>
                <w:tcPr>
                  <w:tcW w:type="dxa" w:w="163"/>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center"/>
                  </w:pPr>
                </w:p>
              </w:tc>
              <w:tc>
                <w:tcPr>
                  <w:tcW w:type="dxa" w:w="163"/>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智能配电柜软件</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数据中心动环监测系统</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套</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235"/>
                  <w:tcBorders>
                    <w:top w:val="none" w:color="000000" w:sz="4"/>
                    <w:left w:val="singl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4"/>
                      <w:color w:val="000000"/>
                    </w:rPr>
                    <w:t>9.5</w:t>
                  </w:r>
                </w:p>
              </w:tc>
              <w:tc>
                <w:tcPr>
                  <w:tcW w:type="dxa" w:w="776"/>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4"/>
                      <w:color w:val="000000"/>
                    </w:rPr>
                    <w:t>蓄电池监测</w:t>
                  </w:r>
                </w:p>
              </w:tc>
              <w:tc>
                <w:tcPr>
                  <w:tcW w:type="dxa" w:w="1214"/>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只监测主机房配套蓄电池</w:t>
                  </w:r>
                </w:p>
              </w:tc>
              <w:tc>
                <w:tcPr>
                  <w:tcW w:type="dxa" w:w="163"/>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center"/>
                  </w:pPr>
                </w:p>
              </w:tc>
              <w:tc>
                <w:tcPr>
                  <w:tcW w:type="dxa" w:w="163"/>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蓄电池组监控主机</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主控模块，支持6组960节电池，每组最多300节电池，RS485上行</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个</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2</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电池采集模块</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电流采集模块</w:t>
                  </w:r>
                  <w:r>
                    <w:br/>
                  </w:r>
                  <w:r>
                    <w:rPr>
                      <w:rFonts w:ascii="仿宋_GB2312" w:hAnsi="仿宋_GB2312" w:cs="仿宋_GB2312" w:eastAsia="仿宋_GB2312"/>
                      <w:sz w:val="24"/>
                      <w:color w:val="000000"/>
                    </w:rPr>
                    <w:t xml:space="preserve"> 工作湿度 5%~95 %不凝霓</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个</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64</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3</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霍尔电流传感器</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参数类型 技术参数</w:t>
                  </w:r>
                  <w:r>
                    <w:br/>
                  </w:r>
                  <w:r>
                    <w:rPr>
                      <w:rFonts w:ascii="仿宋_GB2312" w:hAnsi="仿宋_GB2312" w:cs="仿宋_GB2312" w:eastAsia="仿宋_GB2312"/>
                      <w:sz w:val="24"/>
                      <w:color w:val="000000"/>
                    </w:rPr>
                    <w:t xml:space="preserve"> 工作电庄 9-16VDC</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个</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4</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直流电压变送器</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参数类型 技术参数</w:t>
                  </w:r>
                  <w:r>
                    <w:br/>
                  </w:r>
                  <w:r>
                    <w:rPr>
                      <w:rFonts w:ascii="仿宋_GB2312" w:hAnsi="仿宋_GB2312" w:cs="仿宋_GB2312" w:eastAsia="仿宋_GB2312"/>
                      <w:sz w:val="24"/>
                      <w:color w:val="000000"/>
                    </w:rPr>
                    <w:t xml:space="preserve"> 工作电压9-16VDC</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个</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5</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蓄电池检测软件</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数据中心动环监测系统</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套</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235"/>
                  <w:tcBorders>
                    <w:top w:val="none" w:color="000000" w:sz="4"/>
                    <w:left w:val="singl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4"/>
                      <w:color w:val="000000"/>
                    </w:rPr>
                    <w:t>9.6</w:t>
                  </w:r>
                </w:p>
              </w:tc>
              <w:tc>
                <w:tcPr>
                  <w:tcW w:type="dxa" w:w="776"/>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4"/>
                      <w:color w:val="000000"/>
                    </w:rPr>
                    <w:t>消防报警系统监测</w:t>
                  </w:r>
                </w:p>
              </w:tc>
              <w:tc>
                <w:tcPr>
                  <w:tcW w:type="dxa" w:w="1214"/>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1"/>
                    </w:rPr>
                    <w:t>　</w:t>
                  </w:r>
                </w:p>
              </w:tc>
              <w:tc>
                <w:tcPr>
                  <w:tcW w:type="dxa" w:w="163"/>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center"/>
                  </w:pPr>
                </w:p>
              </w:tc>
              <w:tc>
                <w:tcPr>
                  <w:tcW w:type="dxa" w:w="163"/>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DC24V</w:t>
                  </w:r>
                  <w:r>
                    <w:rPr>
                      <w:rFonts w:ascii="仿宋_GB2312" w:hAnsi="仿宋_GB2312" w:cs="仿宋_GB2312" w:eastAsia="仿宋_GB2312"/>
                      <w:sz w:val="24"/>
                      <w:color w:val="000000"/>
                    </w:rPr>
                    <w:t>继电器</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24V/4</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个</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2</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消防监控软件</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数据中心动环监测系统</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套</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235"/>
                  <w:tcBorders>
                    <w:top w:val="none" w:color="000000" w:sz="4"/>
                    <w:left w:val="singl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4"/>
                      <w:color w:val="000000"/>
                    </w:rPr>
                    <w:t>9.7</w:t>
                  </w:r>
                </w:p>
              </w:tc>
              <w:tc>
                <w:tcPr>
                  <w:tcW w:type="dxa" w:w="776"/>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4"/>
                      <w:color w:val="000000"/>
                    </w:rPr>
                    <w:t>新风机监测</w:t>
                  </w:r>
                </w:p>
              </w:tc>
              <w:tc>
                <w:tcPr>
                  <w:tcW w:type="dxa" w:w="1214"/>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1"/>
                    </w:rPr>
                    <w:t>　</w:t>
                  </w:r>
                </w:p>
              </w:tc>
              <w:tc>
                <w:tcPr>
                  <w:tcW w:type="dxa" w:w="163"/>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center"/>
                  </w:pPr>
                </w:p>
              </w:tc>
              <w:tc>
                <w:tcPr>
                  <w:tcW w:type="dxa" w:w="163"/>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新/排风机开关量状态变送器</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　</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个</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2</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新/排风机软件数据解码</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数据中心动环监测系统</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套</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235"/>
                  <w:tcBorders>
                    <w:top w:val="none" w:color="000000" w:sz="4"/>
                    <w:left w:val="single" w:color="000000" w:sz="4"/>
                    <w:bottom w:val="single" w:color="000000" w:sz="4"/>
                    <w:right w:val="single" w:color="000000" w:sz="4"/>
                  </w:tcBorders>
                  <w:shd w:fill="EBF1F8"/>
                  <w:tcMar>
                    <w:top w:type="dxa" w:w="0"/>
                    <w:left w:type="dxa" w:w="105"/>
                    <w:bottom w:type="dxa" w:w="0"/>
                    <w:right w:type="dxa" w:w="105"/>
                  </w:tcMar>
                </w:tcPr>
                <w:p>
                  <w:pPr>
                    <w:pStyle w:val="null3"/>
                    <w:jc w:val="center"/>
                  </w:pPr>
                  <w:r>
                    <w:rPr>
                      <w:rFonts w:ascii="仿宋_GB2312" w:hAnsi="仿宋_GB2312" w:cs="仿宋_GB2312" w:eastAsia="仿宋_GB2312"/>
                      <w:sz w:val="24"/>
                      <w:color w:val="333333"/>
                    </w:rPr>
                    <w:t>9.8</w:t>
                  </w:r>
                </w:p>
              </w:tc>
              <w:tc>
                <w:tcPr>
                  <w:tcW w:type="dxa" w:w="776"/>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4"/>
                      <w:color w:val="333333"/>
                    </w:rPr>
                    <w:t>门禁管理系统监测</w:t>
                  </w:r>
                </w:p>
              </w:tc>
              <w:tc>
                <w:tcPr>
                  <w:tcW w:type="dxa" w:w="1214"/>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center"/>
                  </w:pPr>
                  <w:r>
                    <w:rPr>
                      <w:rFonts w:ascii="仿宋_GB2312" w:hAnsi="仿宋_GB2312" w:cs="仿宋_GB2312" w:eastAsia="仿宋_GB2312"/>
                      <w:sz w:val="21"/>
                    </w:rPr>
                    <w:t>　</w:t>
                  </w:r>
                </w:p>
              </w:tc>
              <w:tc>
                <w:tcPr>
                  <w:tcW w:type="dxa" w:w="163"/>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center"/>
                  </w:pPr>
                  <w:r>
                    <w:rPr>
                      <w:rFonts w:ascii="仿宋_GB2312" w:hAnsi="仿宋_GB2312" w:cs="仿宋_GB2312" w:eastAsia="仿宋_GB2312"/>
                      <w:sz w:val="21"/>
                    </w:rPr>
                    <w:t>　</w:t>
                  </w:r>
                </w:p>
              </w:tc>
              <w:tc>
                <w:tcPr>
                  <w:tcW w:type="dxa" w:w="163"/>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center"/>
                  </w:pPr>
                  <w:r>
                    <w:rPr>
                      <w:rFonts w:ascii="仿宋_GB2312" w:hAnsi="仿宋_GB2312" w:cs="仿宋_GB2312" w:eastAsia="仿宋_GB2312"/>
                      <w:sz w:val="21"/>
                    </w:rPr>
                    <w:t>　</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333333"/>
                    </w:rPr>
                    <w:t>1</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身份信息识别产品</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国密智能门禁一体机</w:t>
                  </w:r>
                  <w:r>
                    <w:br/>
                  </w:r>
                  <w:r>
                    <w:rPr>
                      <w:rFonts w:ascii="仿宋_GB2312" w:hAnsi="仿宋_GB2312" w:cs="仿宋_GB2312" w:eastAsia="仿宋_GB2312"/>
                      <w:sz w:val="24"/>
                      <w:color w:val="000000"/>
                    </w:rPr>
                    <w:t xml:space="preserve"> 人脸认证：采用深度学习算法，支持照片、视频防假</w:t>
                  </w:r>
                  <w:r>
                    <w:br/>
                  </w:r>
                  <w:r>
                    <w:rPr>
                      <w:rFonts w:ascii="仿宋_GB2312" w:hAnsi="仿宋_GB2312" w:cs="仿宋_GB2312" w:eastAsia="仿宋_GB2312"/>
                      <w:sz w:val="24"/>
                      <w:color w:val="000000"/>
                    </w:rPr>
                    <w:t xml:space="preserve"> 组合认证：卡片+人脸，卡片+密码</w:t>
                  </w:r>
                  <w:r>
                    <w:br/>
                  </w:r>
                  <w:r>
                    <w:rPr>
                      <w:rFonts w:ascii="仿宋_GB2312" w:hAnsi="仿宋_GB2312" w:cs="仿宋_GB2312" w:eastAsia="仿宋_GB2312"/>
                      <w:sz w:val="24"/>
                      <w:color w:val="000000"/>
                    </w:rPr>
                    <w:t xml:space="preserve"> 多重认证：设备支持本地认证、本地+远程开门认证、本地+超级密码认证三种认证模式。每种模式最大支持20个认证组，每个认证组最多支持128人多重认证（每个认证组支持8个群组，每个群组支持16个人）</w:t>
                  </w:r>
                  <w:r>
                    <w:br/>
                  </w:r>
                  <w:r>
                    <w:rPr>
                      <w:rFonts w:ascii="仿宋_GB2312" w:hAnsi="仿宋_GB2312" w:cs="仿宋_GB2312" w:eastAsia="仿宋_GB2312"/>
                      <w:sz w:val="24"/>
                      <w:color w:val="000000"/>
                    </w:rPr>
                    <w:t xml:space="preserve"> 视频预览：支持管理中心远程视频预览，支持接入NVR设备，实现7*24H视频监控录像</w:t>
                  </w:r>
                  <w:r>
                    <w:br/>
                  </w:r>
                  <w:r>
                    <w:rPr>
                      <w:rFonts w:ascii="仿宋_GB2312" w:hAnsi="仿宋_GB2312" w:cs="仿宋_GB2312" w:eastAsia="仿宋_GB2312"/>
                      <w:sz w:val="24"/>
                    </w:rPr>
                    <w:t>口罩检测：支持戴口罩检测，可配置提醒戴口罩、强制戴口罩（未戴口罩不开门）</w:t>
                  </w:r>
                  <w:r>
                    <w:br/>
                  </w:r>
                  <w:r>
                    <w:rPr>
                      <w:rFonts w:ascii="仿宋_GB2312" w:hAnsi="仿宋_GB2312" w:cs="仿宋_GB2312" w:eastAsia="仿宋_GB2312"/>
                      <w:sz w:val="24"/>
                    </w:rPr>
                    <w:t xml:space="preserve"> 国密加密：内置国密SE安全加密芯片，支持SM1、SM2、SM3、SM4加密处理，满足商用密码检测认证中心GM/T0028《密码安全模块安全技术要求》第二级要求，支持国密CPU卡片读卡识别</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333333"/>
                    </w:rPr>
                    <w:t>台</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333333"/>
                    </w:rPr>
                    <w:t>1</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2</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双开门磁力锁</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铝外壳采用高强度合金材料，阳极硬化处理；</w:t>
                  </w:r>
                  <w:r>
                    <w:br/>
                  </w:r>
                  <w:r>
                    <w:rPr>
                      <w:rFonts w:ascii="仿宋_GB2312" w:hAnsi="仿宋_GB2312" w:cs="仿宋_GB2312" w:eastAsia="仿宋_GB2312"/>
                      <w:sz w:val="24"/>
                      <w:color w:val="000000"/>
                    </w:rPr>
                    <w:t xml:space="preserve"> 最大静态直线拉力：230kg±10%*2；</w:t>
                  </w:r>
                  <w:r>
                    <w:br/>
                  </w:r>
                  <w:r>
                    <w:rPr>
                      <w:rFonts w:ascii="仿宋_GB2312" w:hAnsi="仿宋_GB2312" w:cs="仿宋_GB2312" w:eastAsia="仿宋_GB2312"/>
                      <w:sz w:val="24"/>
                      <w:color w:val="000000"/>
                    </w:rPr>
                    <w:t xml:space="preserve"> 断电开锁，满足消防要求；</w:t>
                  </w:r>
                  <w:r>
                    <w:br/>
                  </w:r>
                  <w:r>
                    <w:rPr>
                      <w:rFonts w:ascii="仿宋_GB2312" w:hAnsi="仿宋_GB2312" w:cs="仿宋_GB2312" w:eastAsia="仿宋_GB2312"/>
                      <w:sz w:val="24"/>
                      <w:color w:val="000000"/>
                    </w:rPr>
                    <w:t xml:space="preserve"> 指示灯：红灯为开锁状态， 绿灯为上锁状态；</w:t>
                  </w:r>
                  <w:r>
                    <w:br/>
                  </w:r>
                  <w:r>
                    <w:rPr>
                      <w:rFonts w:ascii="仿宋_GB2312" w:hAnsi="仿宋_GB2312" w:cs="仿宋_GB2312" w:eastAsia="仿宋_GB2312"/>
                      <w:sz w:val="24"/>
                      <w:color w:val="000000"/>
                    </w:rPr>
                    <w:t xml:space="preserve"> 支持锁状态侦测信号(门磁)输出：NO/NC/COM接点；</w:t>
                  </w:r>
                  <w:r>
                    <w:br/>
                  </w:r>
                  <w:r>
                    <w:rPr>
                      <w:rFonts w:ascii="仿宋_GB2312" w:hAnsi="仿宋_GB2312" w:cs="仿宋_GB2312" w:eastAsia="仿宋_GB2312"/>
                      <w:sz w:val="24"/>
                      <w:color w:val="000000"/>
                    </w:rPr>
                    <w:t xml:space="preserve"> 工作电压：12V/940mA 或 24V/470mA，可自行设定工作电压，出厂默认为DC12V；</w:t>
                  </w:r>
                  <w:r>
                    <w:br/>
                  </w:r>
                  <w:r>
                    <w:rPr>
                      <w:rFonts w:ascii="仿宋_GB2312" w:hAnsi="仿宋_GB2312" w:cs="仿宋_GB2312" w:eastAsia="仿宋_GB2312"/>
                      <w:sz w:val="24"/>
                      <w:color w:val="000000"/>
                    </w:rPr>
                    <w:t xml:space="preserve"> 防残磁设计，选用防磨损材料；</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套</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3</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双门磁力锁支架</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选用材料：高强铝合金，表面喷砂</w:t>
                  </w:r>
                  <w:r>
                    <w:br/>
                  </w:r>
                  <w:r>
                    <w:rPr>
                      <w:rFonts w:ascii="仿宋_GB2312" w:hAnsi="仿宋_GB2312" w:cs="仿宋_GB2312" w:eastAsia="仿宋_GB2312"/>
                      <w:sz w:val="24"/>
                      <w:color w:val="000000"/>
                    </w:rPr>
                    <w:t xml:space="preserve"> 外壳处理：阳极硬化电镀处理</w:t>
                  </w:r>
                  <w:r>
                    <w:br/>
                  </w:r>
                  <w:r>
                    <w:rPr>
                      <w:rFonts w:ascii="仿宋_GB2312" w:hAnsi="仿宋_GB2312" w:cs="仿宋_GB2312" w:eastAsia="仿宋_GB2312"/>
                      <w:sz w:val="24"/>
                      <w:color w:val="000000"/>
                    </w:rPr>
                    <w:t xml:space="preserve"> 适用门型：木门、金属门</w:t>
                  </w:r>
                  <w:r>
                    <w:br/>
                  </w:r>
                  <w:r>
                    <w:rPr>
                      <w:rFonts w:ascii="仿宋_GB2312" w:hAnsi="仿宋_GB2312" w:cs="仿宋_GB2312" w:eastAsia="仿宋_GB2312"/>
                      <w:sz w:val="24"/>
                      <w:color w:val="000000"/>
                    </w:rPr>
                    <w:t xml:space="preserve"> 开门方式：90度内开式门</w:t>
                  </w:r>
                  <w:r>
                    <w:br/>
                  </w:r>
                  <w:r>
                    <w:rPr>
                      <w:rFonts w:ascii="仿宋_GB2312" w:hAnsi="仿宋_GB2312" w:cs="仿宋_GB2312" w:eastAsia="仿宋_GB2312"/>
                      <w:sz w:val="24"/>
                      <w:color w:val="000000"/>
                    </w:rPr>
                    <w:t xml:space="preserve"> 产品重量：1kg</w:t>
                  </w:r>
                  <w:r>
                    <w:br/>
                  </w:r>
                  <w:r>
                    <w:rPr>
                      <w:rFonts w:ascii="仿宋_GB2312" w:hAnsi="仿宋_GB2312" w:cs="仿宋_GB2312" w:eastAsia="仿宋_GB2312"/>
                      <w:sz w:val="24"/>
                    </w:rPr>
                    <w:t>L</w:t>
                  </w:r>
                  <w:r>
                    <w:rPr>
                      <w:rFonts w:ascii="仿宋_GB2312" w:hAnsi="仿宋_GB2312" w:cs="仿宋_GB2312" w:eastAsia="仿宋_GB2312"/>
                      <w:sz w:val="24"/>
                    </w:rPr>
                    <w:t>型支架尺寸：不大于长500*宽46*厚30(mm)</w:t>
                  </w:r>
                  <w:r>
                    <w:br/>
                  </w:r>
                  <w:r>
                    <w:rPr>
                      <w:rFonts w:ascii="仿宋_GB2312" w:hAnsi="仿宋_GB2312" w:cs="仿宋_GB2312" w:eastAsia="仿宋_GB2312"/>
                      <w:sz w:val="24"/>
                    </w:rPr>
                    <w:t xml:space="preserve"> Z型支架尺寸：不大于长180*宽47*厚47(mm)</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套</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4</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电源适配器</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输入电压：100-240VAC；</w:t>
                  </w:r>
                  <w:r>
                    <w:br/>
                  </w:r>
                  <w:r>
                    <w:rPr>
                      <w:rFonts w:ascii="仿宋_GB2312" w:hAnsi="仿宋_GB2312" w:cs="仿宋_GB2312" w:eastAsia="仿宋_GB2312"/>
                      <w:sz w:val="24"/>
                      <w:color w:val="000000"/>
                    </w:rPr>
                    <w:t xml:space="preserve"> 输出电压</w:t>
                  </w:r>
                  <w:r>
                    <w:rPr>
                      <w:rFonts w:ascii="仿宋_GB2312" w:hAnsi="仿宋_GB2312" w:cs="仿宋_GB2312" w:eastAsia="仿宋_GB2312"/>
                      <w:sz w:val="24"/>
                    </w:rPr>
                    <w:t>：12VDC；</w:t>
                  </w:r>
                  <w:r>
                    <w:br/>
                  </w:r>
                  <w:r>
                    <w:rPr>
                      <w:rFonts w:ascii="仿宋_GB2312" w:hAnsi="仿宋_GB2312" w:cs="仿宋_GB2312" w:eastAsia="仿宋_GB2312"/>
                      <w:sz w:val="24"/>
                    </w:rPr>
                    <w:t xml:space="preserve"> 输出电流：4.17A；</w:t>
                  </w:r>
                  <w:r>
                    <w:br/>
                  </w:r>
                  <w:r>
                    <w:rPr>
                      <w:rFonts w:ascii="仿宋_GB2312" w:hAnsi="仿宋_GB2312" w:cs="仿宋_GB2312" w:eastAsia="仿宋_GB2312"/>
                      <w:sz w:val="24"/>
                      <w:color w:val="000000"/>
                    </w:rPr>
                    <w:t>输出功率：50W；</w:t>
                  </w:r>
                  <w:r>
                    <w:br/>
                  </w:r>
                  <w:r>
                    <w:rPr>
                      <w:rFonts w:ascii="仿宋_GB2312" w:hAnsi="仿宋_GB2312" w:cs="仿宋_GB2312" w:eastAsia="仿宋_GB2312"/>
                      <w:sz w:val="24"/>
                      <w:color w:val="000000"/>
                    </w:rPr>
                    <w:t xml:space="preserve"> 支持蓄电池接入（设备本身不含蓄电池）</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5</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出门按钮</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结构：塑料面板；</w:t>
                  </w:r>
                  <w:r>
                    <w:br/>
                  </w:r>
                  <w:r>
                    <w:rPr>
                      <w:rFonts w:ascii="仿宋_GB2312" w:hAnsi="仿宋_GB2312" w:cs="仿宋_GB2312" w:eastAsia="仿宋_GB2312"/>
                      <w:sz w:val="24"/>
                      <w:color w:val="000000"/>
                    </w:rPr>
                    <w:t xml:space="preserve"> 性能：最大耐电流1.25A，电压250V；</w:t>
                  </w:r>
                  <w:r>
                    <w:br/>
                  </w:r>
                  <w:r>
                    <w:rPr>
                      <w:rFonts w:ascii="仿宋_GB2312" w:hAnsi="仿宋_GB2312" w:cs="仿宋_GB2312" w:eastAsia="仿宋_GB2312"/>
                      <w:sz w:val="24"/>
                      <w:color w:val="000000"/>
                    </w:rPr>
                    <w:t xml:space="preserve"> 输出：常开；</w:t>
                  </w:r>
                  <w:r>
                    <w:br/>
                  </w:r>
                  <w:r>
                    <w:rPr>
                      <w:rFonts w:ascii="仿宋_GB2312" w:hAnsi="仿宋_GB2312" w:cs="仿宋_GB2312" w:eastAsia="仿宋_GB2312"/>
                      <w:sz w:val="24"/>
                      <w:color w:val="000000"/>
                    </w:rPr>
                    <w:t xml:space="preserve"> 类型：适合埋入式电器盒使用；</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个</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6</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门禁卡</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国密CPU卡，感应频率13.56MHZ；</w:t>
                  </w:r>
                  <w:r>
                    <w:br/>
                  </w:r>
                  <w:r>
                    <w:rPr>
                      <w:rFonts w:ascii="仿宋_GB2312" w:hAnsi="仿宋_GB2312" w:cs="仿宋_GB2312" w:eastAsia="仿宋_GB2312"/>
                      <w:sz w:val="24"/>
                      <w:color w:val="000000"/>
                    </w:rPr>
                    <w:t xml:space="preserve"> 支持国密SM1、SM4算法加密；</w:t>
                  </w:r>
                  <w:r>
                    <w:br/>
                  </w:r>
                  <w:r>
                    <w:rPr>
                      <w:rFonts w:ascii="仿宋_GB2312" w:hAnsi="仿宋_GB2312" w:cs="仿宋_GB2312" w:eastAsia="仿宋_GB2312"/>
                      <w:sz w:val="24"/>
                      <w:color w:val="000000"/>
                    </w:rPr>
                    <w:t xml:space="preserve"> 容量为80K byte；</w:t>
                  </w:r>
                  <w:r>
                    <w:br/>
                  </w:r>
                  <w:r>
                    <w:rPr>
                      <w:rFonts w:ascii="仿宋_GB2312" w:hAnsi="仿宋_GB2312" w:cs="仿宋_GB2312" w:eastAsia="仿宋_GB2312"/>
                      <w:sz w:val="24"/>
                      <w:color w:val="000000"/>
                    </w:rPr>
                    <w:t xml:space="preserve"> 标准白卡外形；</w:t>
                  </w:r>
                  <w:r>
                    <w:br/>
                  </w:r>
                  <w:r>
                    <w:rPr>
                      <w:rFonts w:ascii="仿宋_GB2312" w:hAnsi="仿宋_GB2312" w:cs="仿宋_GB2312" w:eastAsia="仿宋_GB2312"/>
                      <w:sz w:val="24"/>
                      <w:color w:val="000000"/>
                    </w:rPr>
                    <w:t xml:space="preserve"> 卡片尺寸不大于：85.5mm*54mm*0.9mm</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张</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10</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7</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门禁监控软件</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数据中心动环监测系统</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套</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235"/>
                  <w:tcBorders>
                    <w:top w:val="none" w:color="000000" w:sz="4"/>
                    <w:left w:val="singl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4"/>
                      <w:color w:val="000000"/>
                    </w:rPr>
                    <w:t>9.9</w:t>
                  </w:r>
                </w:p>
              </w:tc>
              <w:tc>
                <w:tcPr>
                  <w:tcW w:type="dxa" w:w="776"/>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4"/>
                      <w:color w:val="000000"/>
                    </w:rPr>
                    <w:t>视频安防图像采集系统</w:t>
                  </w:r>
                </w:p>
              </w:tc>
              <w:tc>
                <w:tcPr>
                  <w:tcW w:type="dxa" w:w="1214"/>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1"/>
                    </w:rPr>
                    <w:t>　</w:t>
                  </w:r>
                </w:p>
              </w:tc>
              <w:tc>
                <w:tcPr>
                  <w:tcW w:type="dxa" w:w="163"/>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center"/>
                  </w:pPr>
                </w:p>
              </w:tc>
              <w:tc>
                <w:tcPr>
                  <w:tcW w:type="dxa" w:w="163"/>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室内半球摄像机</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红外半球、400万像素，商用密码检测认证中心颁发的《商用密码产品认证证书》</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3</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硬盘录像机</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24</w:t>
                  </w:r>
                  <w:r>
                    <w:rPr>
                      <w:rFonts w:ascii="仿宋_GB2312" w:hAnsi="仿宋_GB2312" w:cs="仿宋_GB2312" w:eastAsia="仿宋_GB2312"/>
                      <w:sz w:val="24"/>
                    </w:rPr>
                    <w:t>路NVR、8盘位</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4</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监控硬盘</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不少于16T，图像保存180天</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块</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5</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交换机</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24</w:t>
                  </w:r>
                  <w:r>
                    <w:rPr>
                      <w:rFonts w:ascii="仿宋_GB2312" w:hAnsi="仿宋_GB2312" w:cs="仿宋_GB2312" w:eastAsia="仿宋_GB2312"/>
                      <w:sz w:val="24"/>
                    </w:rPr>
                    <w:t>口全千兆POE交换机</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6</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联网视频监控软件</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　</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项</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235"/>
                  <w:tcBorders>
                    <w:top w:val="none" w:color="000000" w:sz="4"/>
                    <w:left w:val="single" w:color="000000" w:sz="4"/>
                    <w:bottom w:val="single" w:color="000000" w:sz="4"/>
                    <w:right w:val="single" w:color="000000" w:sz="4"/>
                  </w:tcBorders>
                  <w:shd w:fill="EBF1F8"/>
                  <w:tcMar>
                    <w:top w:type="dxa" w:w="0"/>
                    <w:left w:type="dxa" w:w="105"/>
                    <w:bottom w:type="dxa" w:w="0"/>
                    <w:right w:type="dxa" w:w="105"/>
                  </w:tcMar>
                </w:tcPr>
                <w:p>
                  <w:pPr>
                    <w:pStyle w:val="null3"/>
                    <w:jc w:val="center"/>
                  </w:pPr>
                  <w:r>
                    <w:rPr>
                      <w:rFonts w:ascii="仿宋_GB2312" w:hAnsi="仿宋_GB2312" w:cs="仿宋_GB2312" w:eastAsia="仿宋_GB2312"/>
                      <w:sz w:val="24"/>
                      <w:color w:val="333333"/>
                    </w:rPr>
                    <w:t>9.10</w:t>
                  </w:r>
                </w:p>
              </w:tc>
              <w:tc>
                <w:tcPr>
                  <w:tcW w:type="dxa" w:w="776"/>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4"/>
                      <w:color w:val="333333"/>
                    </w:rPr>
                    <w:t>数据采集联网模块配置</w:t>
                  </w:r>
                </w:p>
              </w:tc>
              <w:tc>
                <w:tcPr>
                  <w:tcW w:type="dxa" w:w="1214"/>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center"/>
                  </w:pPr>
                  <w:r>
                    <w:rPr>
                      <w:rFonts w:ascii="仿宋_GB2312" w:hAnsi="仿宋_GB2312" w:cs="仿宋_GB2312" w:eastAsia="仿宋_GB2312"/>
                      <w:sz w:val="21"/>
                    </w:rPr>
                    <w:t>　</w:t>
                  </w:r>
                </w:p>
              </w:tc>
              <w:tc>
                <w:tcPr>
                  <w:tcW w:type="dxa" w:w="163"/>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center"/>
                  </w:pPr>
                  <w:r>
                    <w:rPr>
                      <w:rFonts w:ascii="仿宋_GB2312" w:hAnsi="仿宋_GB2312" w:cs="仿宋_GB2312" w:eastAsia="仿宋_GB2312"/>
                      <w:sz w:val="21"/>
                    </w:rPr>
                    <w:t>　</w:t>
                  </w:r>
                </w:p>
              </w:tc>
              <w:tc>
                <w:tcPr>
                  <w:tcW w:type="dxa" w:w="163"/>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center"/>
                  </w:pPr>
                  <w:r>
                    <w:rPr>
                      <w:rFonts w:ascii="仿宋_GB2312" w:hAnsi="仿宋_GB2312" w:cs="仿宋_GB2312" w:eastAsia="仿宋_GB2312"/>
                      <w:sz w:val="21"/>
                    </w:rPr>
                    <w:t>　</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综合采集器</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电源输入交、直流双电源输入(AC120V-260V/DC 240V)电源输出2组，DC12V/1A</w:t>
                  </w:r>
                  <w:r>
                    <w:br/>
                  </w:r>
                  <w:r>
                    <w:rPr>
                      <w:rFonts w:ascii="仿宋_GB2312" w:hAnsi="仿宋_GB2312" w:cs="仿宋_GB2312" w:eastAsia="仿宋_GB2312"/>
                      <w:sz w:val="24"/>
                      <w:color w:val="000000"/>
                    </w:rPr>
                    <w:t xml:space="preserve"> 1、网络接口1个,RJ45接口,10M/100M 自适应功耗&lt;4W，自身功耗，不含对外供电功耗</w:t>
                  </w:r>
                  <w:r>
                    <w:br/>
                  </w:r>
                  <w:r>
                    <w:rPr>
                      <w:rFonts w:ascii="仿宋_GB2312" w:hAnsi="仿宋_GB2312" w:cs="仿宋_GB2312" w:eastAsia="仿宋_GB2312"/>
                      <w:sz w:val="24"/>
                      <w:color w:val="000000"/>
                    </w:rPr>
                    <w:t xml:space="preserve"> 2、下行串口:10个下行RS485串口，串口使用透明传输。</w:t>
                  </w:r>
                  <w:r>
                    <w:br/>
                  </w:r>
                  <w:r>
                    <w:rPr>
                      <w:rFonts w:ascii="仿宋_GB2312" w:hAnsi="仿宋_GB2312" w:cs="仿宋_GB2312" w:eastAsia="仿宋_GB2312"/>
                      <w:sz w:val="24"/>
                      <w:color w:val="000000"/>
                    </w:rPr>
                    <w:t xml:space="preserve"> 每个RS485采用单独RJ45接口，具备供电功能，满足各接入设备的DC12V供电，输出电流500mA;</w:t>
                  </w:r>
                  <w:r>
                    <w:br/>
                  </w:r>
                  <w:r>
                    <w:rPr>
                      <w:rFonts w:ascii="仿宋_GB2312" w:hAnsi="仿宋_GB2312" w:cs="仿宋_GB2312" w:eastAsia="仿宋_GB2312"/>
                      <w:sz w:val="24"/>
                      <w:color w:val="000000"/>
                    </w:rPr>
                    <w:t xml:space="preserve"> 3、DI输入:12个DI输入端口，每个DI采用单独RJ45接口，具备供电功能，满足各接入</w:t>
                  </w:r>
                  <w:r>
                    <w:rPr>
                      <w:rFonts w:ascii="仿宋_GB2312" w:hAnsi="仿宋_GB2312" w:cs="仿宋_GB2312" w:eastAsia="仿宋_GB2312"/>
                      <w:sz w:val="24"/>
                    </w:rPr>
                    <w:t>设备的DC12V供电，输</w:t>
                  </w:r>
                  <w:r>
                    <w:br/>
                  </w:r>
                  <w:r>
                    <w:rPr>
                      <w:rFonts w:ascii="仿宋_GB2312" w:hAnsi="仿宋_GB2312" w:cs="仿宋_GB2312" w:eastAsia="仿宋_GB2312"/>
                      <w:sz w:val="24"/>
                    </w:rPr>
                    <w:t xml:space="preserve"> 出电流100mA;</w:t>
                  </w:r>
                  <w:r>
                    <w:br/>
                  </w:r>
                  <w:r>
                    <w:rPr>
                      <w:rFonts w:ascii="仿宋_GB2312" w:hAnsi="仿宋_GB2312" w:cs="仿宋_GB2312" w:eastAsia="仿宋_GB2312"/>
                      <w:sz w:val="24"/>
                      <w:color w:val="000000"/>
                    </w:rPr>
                    <w:t xml:space="preserve"> 4</w:t>
                  </w:r>
                  <w:r>
                    <w:rPr>
                      <w:rFonts w:ascii="仿宋_GB2312" w:hAnsi="仿宋_GB2312" w:cs="仿宋_GB2312" w:eastAsia="仿宋_GB2312"/>
                      <w:sz w:val="24"/>
                      <w:color w:val="000000"/>
                    </w:rPr>
                    <w:t>、D0输出4个D0输出端口，每个DO采用单独RJ45接口，D0-1/2 电源输出端口:1.6A，D0-3/4 输出端口:3A</w:t>
                  </w:r>
                  <w:r>
                    <w:br/>
                  </w:r>
                  <w:r>
                    <w:rPr>
                      <w:rFonts w:ascii="仿宋_GB2312" w:hAnsi="仿宋_GB2312" w:cs="仿宋_GB2312" w:eastAsia="仿宋_GB2312"/>
                      <w:sz w:val="24"/>
                      <w:color w:val="000000"/>
                    </w:rPr>
                    <w:t xml:space="preserve"> 5、尺寸 </w:t>
                  </w:r>
                  <w:r>
                    <w:rPr>
                      <w:rFonts w:ascii="仿宋_GB2312" w:hAnsi="仿宋_GB2312" w:cs="仿宋_GB2312" w:eastAsia="仿宋_GB2312"/>
                      <w:sz w:val="24"/>
                    </w:rPr>
                    <w:t>不大于428*244*44.5mm</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台</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p>
              </w:tc>
            </w:tr>
            <w:tr>
              <w:tc>
                <w:tcPr>
                  <w:tcW w:type="dxa" w:w="235"/>
                  <w:tcBorders>
                    <w:top w:val="none" w:color="000000" w:sz="4"/>
                    <w:left w:val="singl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4"/>
                      <w:color w:val="000000"/>
                    </w:rPr>
                    <w:t>9.11</w:t>
                  </w:r>
                </w:p>
              </w:tc>
              <w:tc>
                <w:tcPr>
                  <w:tcW w:type="dxa" w:w="776"/>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4"/>
                      <w:color w:val="000000"/>
                    </w:rPr>
                    <w:t>辅助配件</w:t>
                  </w:r>
                </w:p>
              </w:tc>
              <w:tc>
                <w:tcPr>
                  <w:tcW w:type="dxa" w:w="1214"/>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1"/>
                    </w:rPr>
                    <w:t>　</w:t>
                  </w:r>
                </w:p>
              </w:tc>
              <w:tc>
                <w:tcPr>
                  <w:tcW w:type="dxa" w:w="163"/>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1"/>
                    </w:rPr>
                    <w:t>　</w:t>
                  </w:r>
                </w:p>
              </w:tc>
              <w:tc>
                <w:tcPr>
                  <w:tcW w:type="dxa" w:w="163"/>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1"/>
                    </w:rPr>
                    <w:t>　</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线材、KBG管等</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　</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项</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2</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端子、配件等(扎线带、水晶头、色带)</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　</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项</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3</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网线</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六类非屏蔽网线</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箱</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r>
            <w:tr>
              <w:tc>
                <w:tcPr>
                  <w:tcW w:type="dxa" w:w="235"/>
                  <w:tcBorders>
                    <w:top w:val="none" w:color="000000" w:sz="4"/>
                    <w:left w:val="singl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4"/>
                      <w:color w:val="000000"/>
                    </w:rPr>
                    <w:t>9.12</w:t>
                  </w:r>
                </w:p>
              </w:tc>
              <w:tc>
                <w:tcPr>
                  <w:tcW w:type="dxa" w:w="776"/>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4"/>
                      <w:color w:val="000000"/>
                    </w:rPr>
                    <w:t>监控设备配置</w:t>
                  </w:r>
                </w:p>
              </w:tc>
              <w:tc>
                <w:tcPr>
                  <w:tcW w:type="dxa" w:w="1214"/>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left"/>
                  </w:pPr>
                  <w:r>
                    <w:rPr>
                      <w:rFonts w:ascii="仿宋_GB2312" w:hAnsi="仿宋_GB2312" w:cs="仿宋_GB2312" w:eastAsia="仿宋_GB2312"/>
                      <w:sz w:val="21"/>
                    </w:rPr>
                    <w:t>　</w:t>
                  </w:r>
                </w:p>
              </w:tc>
              <w:tc>
                <w:tcPr>
                  <w:tcW w:type="dxa" w:w="163"/>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pPr>
                    <w:pStyle w:val="null3"/>
                    <w:jc w:val="center"/>
                  </w:pPr>
                </w:p>
              </w:tc>
              <w:tc>
                <w:tcPr>
                  <w:tcW w:type="dxa" w:w="163"/>
                  <w:tcBorders>
                    <w:top w:val="none" w:color="000000" w:sz="4"/>
                    <w:left w:val="none" w:color="000000" w:sz="4"/>
                    <w:bottom w:val="single" w:color="000000" w:sz="4"/>
                    <w:right w:val="single" w:color="000000" w:sz="4"/>
                  </w:tcBorders>
                  <w:shd w:fill="EBF1F8"/>
                  <w:tcMar>
                    <w:top w:type="dxa" w:w="0"/>
                    <w:left w:type="dxa" w:w="105"/>
                    <w:bottom w:type="dxa" w:w="0"/>
                    <w:right w:type="dxa" w:w="105"/>
                  </w:tcMar>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动环系统</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数据中心动环监测系统</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套</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2</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24</w:t>
                  </w:r>
                  <w:r>
                    <w:rPr>
                      <w:rFonts w:ascii="仿宋_GB2312" w:hAnsi="仿宋_GB2312" w:cs="仿宋_GB2312" w:eastAsia="仿宋_GB2312"/>
                      <w:sz w:val="24"/>
                    </w:rPr>
                    <w:t>口交换机(千兆)</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、千兆无管理交换机,包转发率38.69Mpps,交换容量52Gbps,24个千兆电口,2个千兆光口,MAC:8K,</w:t>
                  </w:r>
                  <w:r>
                    <w:br/>
                  </w:r>
                  <w:r>
                    <w:rPr>
                      <w:rFonts w:ascii="仿宋_GB2312" w:hAnsi="仿宋_GB2312" w:cs="仿宋_GB2312" w:eastAsia="仿宋_GB2312"/>
                      <w:sz w:val="24"/>
                      <w:color w:val="000000"/>
                    </w:rPr>
                    <w:t xml:space="preserve"> 2、1U标准机架款,金属外壳,挂耳默认自带,支持蓝口转发优先</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套</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3</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短信模块语音模块</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、电源输入 DC9~27V 或 USB DC 5V,</w:t>
                  </w:r>
                  <w:r>
                    <w:br/>
                  </w:r>
                  <w:r>
                    <w:rPr>
                      <w:rFonts w:ascii="仿宋_GB2312" w:hAnsi="仿宋_GB2312" w:cs="仿宋_GB2312" w:eastAsia="仿宋_GB2312"/>
                      <w:sz w:val="24"/>
                      <w:color w:val="000000"/>
                    </w:rPr>
                    <w:t xml:space="preserve"> 2、串口1路 RS485、1路 USB,</w:t>
                  </w:r>
                  <w:r>
                    <w:br/>
                  </w:r>
                  <w:r>
                    <w:rPr>
                      <w:rFonts w:ascii="仿宋_GB2312" w:hAnsi="仿宋_GB2312" w:cs="仿宋_GB2312" w:eastAsia="仿宋_GB2312"/>
                      <w:sz w:val="24"/>
                      <w:color w:val="000000"/>
                    </w:rPr>
                    <w:t xml:space="preserve"> 3、频段LTE-TDD B34/B38/B39/B40/B41,LTE-FDD B1/B3/B5/B8, GSM/GPRS/EDGE 900/1800 MHz,</w:t>
                  </w:r>
                  <w:r>
                    <w:br/>
                  </w:r>
                  <w:r>
                    <w:rPr>
                      <w:rFonts w:ascii="仿宋_GB2312" w:hAnsi="仿宋_GB2312" w:cs="仿宋_GB2312" w:eastAsia="仿宋_GB2312"/>
                      <w:sz w:val="24"/>
                      <w:color w:val="000000"/>
                    </w:rPr>
                    <w:t xml:space="preserve"> 4、数据传输:LTE Cat 1,上行最大 5Mbps,下行最大10Mbps，EDGE 上行/下行最大236.8Kbps,GPRS上行/下行最大85.6Kbps</w:t>
                  </w:r>
                  <w:r>
                    <w:br/>
                  </w:r>
                  <w:r>
                    <w:rPr>
                      <w:rFonts w:ascii="仿宋_GB2312" w:hAnsi="仿宋_GB2312" w:cs="仿宋_GB2312" w:eastAsia="仿宋_GB2312"/>
                      <w:sz w:val="24"/>
                      <w:color w:val="000000"/>
                    </w:rPr>
                    <w:t xml:space="preserve"> 5、过压保护18V，过流保护500mA，防雷保护 电源端口/RS485:2KV/1KA</w:t>
                  </w:r>
                  <w:r>
                    <w:br/>
                  </w:r>
                  <w:r>
                    <w:rPr>
                      <w:rFonts w:ascii="仿宋_GB2312" w:hAnsi="仿宋_GB2312" w:cs="仿宋_GB2312" w:eastAsia="仿宋_GB2312"/>
                      <w:sz w:val="24"/>
                      <w:color w:val="000000"/>
                    </w:rPr>
                    <w:t xml:space="preserve"> 6、尺寸</w:t>
                  </w:r>
                </w:p>
                <w:p>
                  <w:pPr>
                    <w:pStyle w:val="null3"/>
                    <w:jc w:val="left"/>
                  </w:pPr>
                  <w:r>
                    <w:rPr>
                      <w:rFonts w:ascii="仿宋_GB2312" w:hAnsi="仿宋_GB2312" w:cs="仿宋_GB2312" w:eastAsia="仿宋_GB2312"/>
                      <w:sz w:val="24"/>
                    </w:rPr>
                    <w:t>不大于105mm(L)x75mm(W)x30mm(H)(不含端子)</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台</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4</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短信电话语音报警软件模块</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数据中心动环监测系统</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个</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5</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声光警号</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、工作电压</w:t>
                  </w:r>
                  <w:r>
                    <w:rPr>
                      <w:rFonts w:ascii="仿宋_GB2312" w:hAnsi="仿宋_GB2312" w:cs="仿宋_GB2312" w:eastAsia="仿宋_GB2312"/>
                      <w:sz w:val="24"/>
                    </w:rPr>
                    <w:t>:12V</w:t>
                  </w:r>
                  <w:r>
                    <w:rPr>
                      <w:rFonts w:ascii="仿宋_GB2312" w:hAnsi="仿宋_GB2312" w:cs="仿宋_GB2312" w:eastAsia="仿宋_GB2312"/>
                      <w:sz w:val="24"/>
                    </w:rPr>
                    <w:t>、工作电流:70mA、</w:t>
                  </w:r>
                  <w:r>
                    <w:rPr>
                      <w:rFonts w:ascii="仿宋_GB2312" w:hAnsi="仿宋_GB2312" w:cs="仿宋_GB2312" w:eastAsia="仿宋_GB2312"/>
                      <w:sz w:val="24"/>
                      <w:color w:val="000000"/>
                    </w:rPr>
                    <w:t>2</w:t>
                  </w:r>
                  <w:r>
                    <w:rPr>
                      <w:rFonts w:ascii="仿宋_GB2312" w:hAnsi="仿宋_GB2312" w:cs="仿宋_GB2312" w:eastAsia="仿宋_GB2312"/>
                      <w:sz w:val="24"/>
                      <w:color w:val="000000"/>
                    </w:rPr>
                    <w:t>、声压指数:≥108dB(300mm)、闪光频率:200次/分钟士10%、灯罩颜色:红色(蓝色可定制)</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个</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6</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原厂安装调试</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　</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项</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bl>
          <w:p>
            <w:pPr>
              <w:pStyle w:val="null3"/>
              <w:spacing w:before="255" w:after="255"/>
              <w:jc w:val="both"/>
              <w:outlineLvl w:val="2"/>
            </w:pPr>
            <w:r>
              <w:rPr>
                <w:rFonts w:ascii="仿宋_GB2312" w:hAnsi="仿宋_GB2312" w:cs="仿宋_GB2312" w:eastAsia="仿宋_GB2312"/>
                <w:sz w:val="24"/>
                <w:b/>
              </w:rPr>
              <w:t>网络环境建设清单及技术要求</w:t>
            </w:r>
          </w:p>
          <w:tbl>
            <w:tblPr>
              <w:tblBorders>
                <w:top w:val="single"/>
                <w:left w:val="single"/>
                <w:bottom w:val="single"/>
                <w:right w:val="single"/>
                <w:insideH w:val="single"/>
                <w:insideV w:val="single"/>
              </w:tblBorders>
            </w:tblPr>
            <w:tblGrid>
              <w:gridCol w:w="197"/>
              <w:gridCol w:w="223"/>
              <w:gridCol w:w="1845"/>
              <w:gridCol w:w="134"/>
              <w:gridCol w:w="147"/>
            </w:tblGrid>
            <w:tr>
              <w:tc>
                <w:tcPr>
                  <w:tcW w:type="dxa" w:w="197"/>
                  <w:tcBorders>
                    <w:top w:val="single" w:color="000000" w:sz="4"/>
                    <w:left w:val="single" w:color="000000" w:sz="4"/>
                    <w:bottom w:val="single" w:color="000000" w:sz="4"/>
                    <w:right w:val="single" w:color="000000" w:sz="4"/>
                  </w:tcBorders>
                  <w:shd w:fill="BDD7EE"/>
                  <w:tcMar>
                    <w:top w:type="dxa" w:w="0"/>
                    <w:left w:type="dxa" w:w="105"/>
                    <w:bottom w:type="dxa" w:w="0"/>
                    <w:right w:type="dxa" w:w="105"/>
                  </w:tcMar>
                </w:tcPr>
                <w:p>
                  <w:pPr>
                    <w:pStyle w:val="null3"/>
                    <w:jc w:val="center"/>
                  </w:pPr>
                  <w:r>
                    <w:rPr>
                      <w:rFonts w:ascii="仿宋_GB2312" w:hAnsi="仿宋_GB2312" w:cs="仿宋_GB2312" w:eastAsia="仿宋_GB2312"/>
                      <w:sz w:val="24"/>
                      <w:b/>
                    </w:rPr>
                    <w:t>序号</w:t>
                  </w:r>
                </w:p>
              </w:tc>
              <w:tc>
                <w:tcPr>
                  <w:tcW w:type="dxa" w:w="223"/>
                  <w:tcBorders>
                    <w:top w:val="single" w:color="000000" w:sz="4"/>
                    <w:left w:val="none" w:color="000000" w:sz="4"/>
                    <w:bottom w:val="single" w:color="000000" w:sz="4"/>
                    <w:right w:val="single" w:color="000000" w:sz="4"/>
                  </w:tcBorders>
                  <w:shd w:fill="BDD7EE"/>
                  <w:tcMar>
                    <w:top w:type="dxa" w:w="0"/>
                    <w:left w:type="dxa" w:w="105"/>
                    <w:bottom w:type="dxa" w:w="0"/>
                    <w:right w:type="dxa" w:w="105"/>
                  </w:tcMar>
                </w:tcPr>
                <w:p>
                  <w:pPr>
                    <w:pStyle w:val="null3"/>
                    <w:jc w:val="center"/>
                  </w:pPr>
                  <w:r>
                    <w:rPr>
                      <w:rFonts w:ascii="仿宋_GB2312" w:hAnsi="仿宋_GB2312" w:cs="仿宋_GB2312" w:eastAsia="仿宋_GB2312"/>
                      <w:sz w:val="24"/>
                      <w:b/>
                    </w:rPr>
                    <w:t>名称</w:t>
                  </w:r>
                </w:p>
              </w:tc>
              <w:tc>
                <w:tcPr>
                  <w:tcW w:type="dxa" w:w="1845"/>
                  <w:tcBorders>
                    <w:top w:val="single" w:color="000000" w:sz="4"/>
                    <w:left w:val="none" w:color="000000" w:sz="4"/>
                    <w:bottom w:val="single" w:color="000000" w:sz="4"/>
                    <w:right w:val="single" w:color="000000" w:sz="4"/>
                  </w:tcBorders>
                  <w:shd w:fill="BDD7EE"/>
                  <w:tcMar>
                    <w:top w:type="dxa" w:w="0"/>
                    <w:left w:type="dxa" w:w="105"/>
                    <w:bottom w:type="dxa" w:w="0"/>
                    <w:right w:type="dxa" w:w="105"/>
                  </w:tcMar>
                </w:tcPr>
                <w:p>
                  <w:pPr>
                    <w:pStyle w:val="null3"/>
                    <w:jc w:val="center"/>
                  </w:pPr>
                  <w:r>
                    <w:rPr>
                      <w:rFonts w:ascii="仿宋_GB2312" w:hAnsi="仿宋_GB2312" w:cs="仿宋_GB2312" w:eastAsia="仿宋_GB2312"/>
                      <w:sz w:val="24"/>
                      <w:b/>
                    </w:rPr>
                    <w:t>招标参数</w:t>
                  </w:r>
                </w:p>
              </w:tc>
              <w:tc>
                <w:tcPr>
                  <w:tcW w:type="dxa" w:w="134"/>
                  <w:tcBorders>
                    <w:top w:val="single" w:color="000000" w:sz="4"/>
                    <w:left w:val="none" w:color="000000" w:sz="4"/>
                    <w:bottom w:val="single" w:color="000000" w:sz="4"/>
                    <w:right w:val="single" w:color="000000" w:sz="4"/>
                  </w:tcBorders>
                  <w:shd w:fill="BDD7EE"/>
                  <w:tcMar>
                    <w:top w:type="dxa" w:w="0"/>
                    <w:left w:type="dxa" w:w="105"/>
                    <w:bottom w:type="dxa" w:w="0"/>
                    <w:right w:type="dxa" w:w="105"/>
                  </w:tcMar>
                </w:tcPr>
                <w:p>
                  <w:pPr>
                    <w:pStyle w:val="null3"/>
                    <w:jc w:val="center"/>
                  </w:pPr>
                  <w:r>
                    <w:rPr>
                      <w:rFonts w:ascii="仿宋_GB2312" w:hAnsi="仿宋_GB2312" w:cs="仿宋_GB2312" w:eastAsia="仿宋_GB2312"/>
                      <w:sz w:val="24"/>
                      <w:b/>
                    </w:rPr>
                    <w:t>单位</w:t>
                  </w:r>
                </w:p>
              </w:tc>
              <w:tc>
                <w:tcPr>
                  <w:tcW w:type="dxa" w:w="147"/>
                  <w:tcBorders>
                    <w:top w:val="single" w:color="000000" w:sz="4"/>
                    <w:left w:val="none" w:color="000000" w:sz="4"/>
                    <w:bottom w:val="single" w:color="000000" w:sz="4"/>
                    <w:right w:val="single" w:color="000000" w:sz="4"/>
                  </w:tcBorders>
                  <w:shd w:fill="BDD7EE"/>
                  <w:tcMar>
                    <w:top w:type="dxa" w:w="0"/>
                    <w:left w:type="dxa" w:w="105"/>
                    <w:bottom w:type="dxa" w:w="0"/>
                    <w:right w:type="dxa" w:w="105"/>
                  </w:tcMar>
                </w:tcPr>
                <w:p>
                  <w:pPr>
                    <w:pStyle w:val="null3"/>
                    <w:jc w:val="center"/>
                  </w:pPr>
                  <w:r>
                    <w:rPr>
                      <w:rFonts w:ascii="仿宋_GB2312" w:hAnsi="仿宋_GB2312" w:cs="仿宋_GB2312" w:eastAsia="仿宋_GB2312"/>
                      <w:sz w:val="24"/>
                      <w:b/>
                    </w:rPr>
                    <w:t>数量</w:t>
                  </w:r>
                </w:p>
              </w:tc>
            </w:tr>
            <w:tr>
              <w:tc>
                <w:tcPr>
                  <w:tcW w:type="dxa" w:w="197"/>
                  <w:tcBorders>
                    <w:top w:val="none" w:color="000000" w:sz="4"/>
                    <w:left w:val="single" w:color="000000" w:sz="4"/>
                    <w:bottom w:val="single" w:color="000000" w:sz="4"/>
                    <w:right w:val="single" w:color="000000" w:sz="4"/>
                  </w:tcBorders>
                  <w:shd w:fill="DDEBF7"/>
                  <w:tcMar>
                    <w:top w:type="dxa" w:w="0"/>
                    <w:left w:type="dxa" w:w="105"/>
                    <w:bottom w:type="dxa" w:w="0"/>
                    <w:right w:type="dxa" w:w="105"/>
                  </w:tcMar>
                </w:tcPr>
                <w:p>
                  <w:pPr>
                    <w:pStyle w:val="null3"/>
                    <w:jc w:val="center"/>
                  </w:pPr>
                  <w:r>
                    <w:rPr>
                      <w:rFonts w:ascii="仿宋_GB2312" w:hAnsi="仿宋_GB2312" w:cs="仿宋_GB2312" w:eastAsia="仿宋_GB2312"/>
                      <w:sz w:val="24"/>
                      <w:color w:val="333333"/>
                    </w:rPr>
                    <w:t>1</w:t>
                  </w:r>
                </w:p>
              </w:tc>
              <w:tc>
                <w:tcPr>
                  <w:tcW w:type="dxa" w:w="223"/>
                  <w:tcBorders>
                    <w:top w:val="none" w:color="000000" w:sz="4"/>
                    <w:left w:val="none" w:color="000000" w:sz="4"/>
                    <w:bottom w:val="single" w:color="000000" w:sz="4"/>
                    <w:right w:val="single" w:color="000000" w:sz="4"/>
                  </w:tcBorders>
                  <w:shd w:fill="DDEBF7"/>
                  <w:tcMar>
                    <w:top w:type="dxa" w:w="0"/>
                    <w:left w:type="dxa" w:w="105"/>
                    <w:bottom w:type="dxa" w:w="0"/>
                    <w:right w:type="dxa" w:w="105"/>
                  </w:tcMar>
                </w:tcPr>
                <w:p>
                  <w:pPr>
                    <w:pStyle w:val="null3"/>
                    <w:jc w:val="left"/>
                  </w:pPr>
                  <w:r>
                    <w:rPr>
                      <w:rFonts w:ascii="仿宋_GB2312" w:hAnsi="仿宋_GB2312" w:cs="仿宋_GB2312" w:eastAsia="仿宋_GB2312"/>
                      <w:sz w:val="24"/>
                      <w:color w:val="000000"/>
                    </w:rPr>
                    <w:t>防火墙</w:t>
                  </w:r>
                </w:p>
              </w:tc>
              <w:tc>
                <w:tcPr>
                  <w:tcW w:type="dxa" w:w="1845"/>
                  <w:tcBorders>
                    <w:top w:val="none" w:color="000000" w:sz="4"/>
                    <w:left w:val="none" w:color="000000" w:sz="4"/>
                    <w:bottom w:val="single" w:color="000000" w:sz="4"/>
                    <w:right w:val="single" w:color="000000" w:sz="4"/>
                  </w:tcBorders>
                  <w:shd w:fill="DDEBF7"/>
                  <w:tcMar>
                    <w:top w:type="dxa" w:w="0"/>
                    <w:left w:type="dxa" w:w="105"/>
                    <w:bottom w:type="dxa" w:w="0"/>
                    <w:right w:type="dxa" w:w="105"/>
                  </w:tcMar>
                </w:tcPr>
                <w:p>
                  <w:pPr>
                    <w:pStyle w:val="null3"/>
                    <w:jc w:val="left"/>
                  </w:pPr>
                  <w:r>
                    <w:rPr>
                      <w:rFonts w:ascii="仿宋_GB2312" w:hAnsi="仿宋_GB2312" w:cs="仿宋_GB2312" w:eastAsia="仿宋_GB2312"/>
                      <w:sz w:val="24"/>
                      <w:color w:val="000000"/>
                    </w:rPr>
                    <w:t>性能参数：网络层吞吐量≥10G，应用层吞吐量≥4G，全威胁吞吐量≥800M，并发连接数≥400万，HTTP新建连接数≥10万。</w:t>
                  </w:r>
                  <w:r>
                    <w:br/>
                  </w:r>
                  <w:r>
                    <w:rPr>
                      <w:rFonts w:ascii="仿宋_GB2312" w:hAnsi="仿宋_GB2312" w:cs="仿宋_GB2312" w:eastAsia="仿宋_GB2312"/>
                      <w:sz w:val="24"/>
                      <w:color w:val="000000"/>
                    </w:rPr>
                    <w:t xml:space="preserve"> 硬件参数：机架式设备，内存大小≥8G，硬盘容量≥128G SSD，接口≥6千兆电口，≥2万兆光口。</w:t>
                  </w:r>
                  <w:r>
                    <w:br/>
                  </w:r>
                  <w:r>
                    <w:rPr>
                      <w:rFonts w:ascii="仿宋_GB2312" w:hAnsi="仿宋_GB2312" w:cs="仿宋_GB2312" w:eastAsia="仿宋_GB2312"/>
                      <w:sz w:val="24"/>
                      <w:color w:val="000000"/>
                    </w:rPr>
                    <w:t xml:space="preserve"> 不少于3年维保服务;3年规则库升级。</w:t>
                  </w:r>
                  <w:r>
                    <w:br/>
                  </w:r>
                  <w:r>
                    <w:rPr>
                      <w:rFonts w:ascii="仿宋_GB2312" w:hAnsi="仿宋_GB2312" w:cs="仿宋_GB2312" w:eastAsia="仿宋_GB2312"/>
                      <w:sz w:val="24"/>
                      <w:color w:val="000000"/>
                    </w:rPr>
                    <w:t xml:space="preserve"> 功能参数：</w:t>
                  </w:r>
                  <w:r>
                    <w:br/>
                  </w:r>
                  <w:r>
                    <w:rPr>
                      <w:rFonts w:ascii="仿宋_GB2312" w:hAnsi="仿宋_GB2312" w:cs="仿宋_GB2312" w:eastAsia="仿宋_GB2312"/>
                      <w:sz w:val="24"/>
                      <w:color w:val="000000"/>
                    </w:rPr>
                    <w:t xml:space="preserve"> 1) 提供DDoS防护功能，对ICMP、UDP、DNS、SYN等协议进行DDOS防护。</w:t>
                  </w:r>
                  <w:r>
                    <w:br/>
                  </w:r>
                  <w:r>
                    <w:rPr>
                      <w:rFonts w:ascii="仿宋_GB2312" w:hAnsi="仿宋_GB2312" w:cs="仿宋_GB2312" w:eastAsia="仿宋_GB2312"/>
                      <w:sz w:val="24"/>
                      <w:color w:val="000000"/>
                    </w:rPr>
                    <w:t xml:space="preserve"> 2) 提供防病毒功能，对压缩病毒文件进行检测和拦截，具备独立的勒索病毒防护模块界面。</w:t>
                  </w:r>
                  <w:r>
                    <w:br/>
                  </w:r>
                  <w:r>
                    <w:rPr>
                      <w:rFonts w:ascii="仿宋_GB2312" w:hAnsi="仿宋_GB2312" w:cs="仿宋_GB2312" w:eastAsia="仿宋_GB2312"/>
                      <w:sz w:val="24"/>
                      <w:color w:val="000000"/>
                    </w:rPr>
                    <w:t xml:space="preserve"> 3) 提供入侵攻击防御功能，内置不低于16000种漏洞规则，支持用户自定义IPS规则。</w:t>
                  </w:r>
                  <w:r>
                    <w:br/>
                  </w:r>
                  <w:r>
                    <w:rPr>
                      <w:rFonts w:ascii="仿宋_GB2312" w:hAnsi="仿宋_GB2312" w:cs="仿宋_GB2312" w:eastAsia="仿宋_GB2312"/>
                      <w:sz w:val="24"/>
                      <w:color w:val="000000"/>
                    </w:rPr>
                    <w:t xml:space="preserve"> 4) ▲提供僵尸主机检测功能，内置僵尸网络特征库超过150万种，可识别主机的异常外联行为，提供截图证明。</w:t>
                  </w:r>
                  <w:r>
                    <w:br/>
                  </w:r>
                  <w:r>
                    <w:rPr>
                      <w:rFonts w:ascii="仿宋_GB2312" w:hAnsi="仿宋_GB2312" w:cs="仿宋_GB2312" w:eastAsia="仿宋_GB2312"/>
                      <w:sz w:val="24"/>
                      <w:color w:val="000000"/>
                    </w:rPr>
                    <w:t xml:space="preserve"> 5) 提供独立的账号安全防护功能，可以展示账号安全相关信息，包括风险业务、风险等级、存在账号入口、存在弱口令、遭受口令爆破、异常登录账号等。</w:t>
                  </w:r>
                  <w:r>
                    <w:br/>
                  </w:r>
                  <w:r>
                    <w:rPr>
                      <w:rFonts w:ascii="仿宋_GB2312" w:hAnsi="仿宋_GB2312" w:cs="仿宋_GB2312" w:eastAsia="仿宋_GB2312"/>
                      <w:sz w:val="24"/>
                      <w:color w:val="000000"/>
                    </w:rPr>
                    <w:t xml:space="preserve"> 6) ▲提供威胁情报功能，威胁情报实时同步到设备，对威胁流量就近进行实时检测&amp;拦截，提供截图证明。</w:t>
                  </w:r>
                  <w:r>
                    <w:br/>
                  </w:r>
                  <w:r>
                    <w:rPr>
                      <w:rFonts w:ascii="仿宋_GB2312" w:hAnsi="仿宋_GB2312" w:cs="仿宋_GB2312" w:eastAsia="仿宋_GB2312"/>
                      <w:sz w:val="24"/>
                      <w:color w:val="000000"/>
                    </w:rPr>
                    <w:t xml:space="preserve"> 7) 支持针对未知威胁的主动探测技术，实现分钟级未知威胁情报下发到设备侧。</w:t>
                  </w:r>
                  <w:r>
                    <w:br/>
                  </w:r>
                  <w:r>
                    <w:rPr>
                      <w:rFonts w:ascii="仿宋_GB2312" w:hAnsi="仿宋_GB2312" w:cs="仿宋_GB2312" w:eastAsia="仿宋_GB2312"/>
                      <w:sz w:val="24"/>
                      <w:color w:val="000000"/>
                    </w:rPr>
                    <w:t xml:space="preserve"> 8) 具有中国网络安全审查技术与认证中心颁发的IT产品信息安全认证证书EAL4增强级。</w:t>
                  </w:r>
                </w:p>
              </w:tc>
              <w:tc>
                <w:tcPr>
                  <w:tcW w:type="dxa" w:w="134"/>
                  <w:tcBorders>
                    <w:top w:val="none" w:color="000000" w:sz="4"/>
                    <w:left w:val="none" w:color="000000" w:sz="4"/>
                    <w:bottom w:val="single" w:color="000000" w:sz="4"/>
                    <w:right w:val="single" w:color="000000" w:sz="4"/>
                  </w:tcBorders>
                  <w:shd w:fill="DDEBF7"/>
                  <w:tcMar>
                    <w:top w:type="dxa" w:w="0"/>
                    <w:left w:type="dxa" w:w="105"/>
                    <w:bottom w:type="dxa" w:w="0"/>
                    <w:right w:type="dxa" w:w="105"/>
                  </w:tcMar>
                </w:tcPr>
                <w:p>
                  <w:pPr>
                    <w:pStyle w:val="null3"/>
                    <w:jc w:val="center"/>
                  </w:pPr>
                  <w:r>
                    <w:rPr>
                      <w:rFonts w:ascii="仿宋_GB2312" w:hAnsi="仿宋_GB2312" w:cs="仿宋_GB2312" w:eastAsia="仿宋_GB2312"/>
                      <w:sz w:val="24"/>
                      <w:color w:val="333333"/>
                    </w:rPr>
                    <w:t>台</w:t>
                  </w:r>
                </w:p>
              </w:tc>
              <w:tc>
                <w:tcPr>
                  <w:tcW w:type="dxa" w:w="147"/>
                  <w:tcBorders>
                    <w:top w:val="none" w:color="000000" w:sz="4"/>
                    <w:left w:val="none" w:color="000000" w:sz="4"/>
                    <w:bottom w:val="single" w:color="000000" w:sz="4"/>
                    <w:right w:val="single" w:color="000000" w:sz="4"/>
                  </w:tcBorders>
                  <w:shd w:fill="DDEBF7"/>
                  <w:tcMar>
                    <w:top w:type="dxa" w:w="0"/>
                    <w:left w:type="dxa" w:w="105"/>
                    <w:bottom w:type="dxa" w:w="0"/>
                    <w:right w:type="dxa" w:w="105"/>
                  </w:tcMar>
                </w:tcPr>
                <w:p>
                  <w:pPr>
                    <w:pStyle w:val="null3"/>
                    <w:jc w:val="center"/>
                  </w:pPr>
                  <w:r>
                    <w:rPr>
                      <w:rFonts w:ascii="仿宋_GB2312" w:hAnsi="仿宋_GB2312" w:cs="仿宋_GB2312" w:eastAsia="仿宋_GB2312"/>
                      <w:sz w:val="24"/>
                      <w:color w:val="333333"/>
                    </w:rPr>
                    <w:t>1</w:t>
                  </w:r>
                </w:p>
              </w:tc>
            </w:tr>
            <w:tr>
              <w:tc>
                <w:tcPr>
                  <w:tcW w:type="dxa" w:w="197"/>
                  <w:tcBorders>
                    <w:top w:val="none" w:color="000000" w:sz="4"/>
                    <w:left w:val="single" w:color="000000" w:sz="4"/>
                    <w:bottom w:val="single" w:color="000000" w:sz="4"/>
                    <w:right w:val="single" w:color="000000" w:sz="4"/>
                  </w:tcBorders>
                  <w:shd w:fill="DDEBF7"/>
                  <w:tcMar>
                    <w:top w:type="dxa" w:w="0"/>
                    <w:left w:type="dxa" w:w="105"/>
                    <w:bottom w:type="dxa" w:w="0"/>
                    <w:right w:type="dxa" w:w="105"/>
                  </w:tcMar>
                </w:tcPr>
                <w:p>
                  <w:pPr>
                    <w:pStyle w:val="null3"/>
                    <w:jc w:val="left"/>
                  </w:pPr>
                  <w:r>
                    <w:rPr>
                      <w:rFonts w:ascii="仿宋_GB2312" w:hAnsi="仿宋_GB2312" w:cs="仿宋_GB2312" w:eastAsia="仿宋_GB2312"/>
                      <w:sz w:val="24"/>
                      <w:color w:val="000000"/>
                    </w:rPr>
                    <w:t>2</w:t>
                  </w:r>
                </w:p>
              </w:tc>
              <w:tc>
                <w:tcPr>
                  <w:tcW w:type="dxa" w:w="223"/>
                  <w:tcBorders>
                    <w:top w:val="none" w:color="000000" w:sz="4"/>
                    <w:left w:val="none" w:color="000000" w:sz="4"/>
                    <w:bottom w:val="single" w:color="000000" w:sz="4"/>
                    <w:right w:val="single" w:color="000000" w:sz="4"/>
                  </w:tcBorders>
                  <w:shd w:fill="DDEBF7"/>
                  <w:tcMar>
                    <w:top w:type="dxa" w:w="0"/>
                    <w:left w:type="dxa" w:w="105"/>
                    <w:bottom w:type="dxa" w:w="0"/>
                    <w:right w:type="dxa" w:w="105"/>
                  </w:tcMar>
                </w:tcPr>
                <w:p>
                  <w:pPr>
                    <w:pStyle w:val="null3"/>
                    <w:jc w:val="left"/>
                  </w:pPr>
                  <w:r>
                    <w:rPr>
                      <w:rFonts w:ascii="仿宋_GB2312" w:hAnsi="仿宋_GB2312" w:cs="仿宋_GB2312" w:eastAsia="仿宋_GB2312"/>
                      <w:sz w:val="24"/>
                      <w:color w:val="000000"/>
                    </w:rPr>
                    <w:t>上网行为管理</w:t>
                  </w:r>
                </w:p>
              </w:tc>
              <w:tc>
                <w:tcPr>
                  <w:tcW w:type="dxa" w:w="1845"/>
                  <w:tcBorders>
                    <w:top w:val="none" w:color="000000" w:sz="4"/>
                    <w:left w:val="none" w:color="000000" w:sz="4"/>
                    <w:bottom w:val="single" w:color="000000" w:sz="4"/>
                    <w:right w:val="single" w:color="000000" w:sz="4"/>
                  </w:tcBorders>
                  <w:shd w:fill="DDEBF7"/>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性能参数：网络层吞吐量≥3.6Gb，应用层吞吐量≥450Mb，每秒新建连接数≥4000，最大并发连接数≥150000。</w:t>
                  </w:r>
                  <w:r>
                    <w:br/>
                  </w:r>
                  <w:r>
                    <w:rPr>
                      <w:rFonts w:ascii="仿宋_GB2312" w:hAnsi="仿宋_GB2312" w:cs="仿宋_GB2312" w:eastAsia="仿宋_GB2312"/>
                      <w:sz w:val="24"/>
                      <w:color w:val="000000"/>
                    </w:rPr>
                    <w:t xml:space="preserve"> 硬件参数：机架式设备，内存大小≥8G，硬盘容量≥480G SSD，接口≥6千兆电口。</w:t>
                  </w:r>
                  <w:r>
                    <w:br/>
                  </w:r>
                  <w:r>
                    <w:rPr>
                      <w:rFonts w:ascii="仿宋_GB2312" w:hAnsi="仿宋_GB2312" w:cs="仿宋_GB2312" w:eastAsia="仿宋_GB2312"/>
                      <w:sz w:val="24"/>
                      <w:color w:val="000000"/>
                    </w:rPr>
                    <w:t xml:space="preserve"> 不少于3年URL&amp;应用识别规则库升级;3年维保服务。</w:t>
                  </w:r>
                  <w:r>
                    <w:br/>
                  </w:r>
                  <w:r>
                    <w:rPr>
                      <w:rFonts w:ascii="仿宋_GB2312" w:hAnsi="仿宋_GB2312" w:cs="仿宋_GB2312" w:eastAsia="仿宋_GB2312"/>
                      <w:sz w:val="24"/>
                      <w:color w:val="000000"/>
                    </w:rPr>
                    <w:t xml:space="preserve"> 功能参数：</w:t>
                  </w:r>
                  <w:r>
                    <w:br/>
                  </w:r>
                  <w:r>
                    <w:rPr>
                      <w:rFonts w:ascii="仿宋_GB2312" w:hAnsi="仿宋_GB2312" w:cs="仿宋_GB2312" w:eastAsia="仿宋_GB2312"/>
                      <w:sz w:val="24"/>
                      <w:color w:val="000000"/>
                    </w:rPr>
                    <w:t xml:space="preserve"> 1) 提供终端资产管理功能，自动发现入网的终端，包括PC、手机、打印机等，并获取IP、Mac、厂商、操作系统等信息，同时支持图形化查看当前内网IP使用情况。</w:t>
                  </w:r>
                  <w:r>
                    <w:br/>
                  </w:r>
                  <w:r>
                    <w:rPr>
                      <w:rFonts w:ascii="仿宋_GB2312" w:hAnsi="仿宋_GB2312" w:cs="仿宋_GB2312" w:eastAsia="仿宋_GB2312"/>
                      <w:sz w:val="24"/>
                      <w:color w:val="000000"/>
                    </w:rPr>
                    <w:t xml:space="preserve"> 2) 提供实时接入状态功能，首页分析显示接入用户人数、终端类型；带宽质量分析、实时流量排名；资产类型分布、新设备发现趋势、终端违规检查项排行、终端违规用户排行。</w:t>
                  </w:r>
                  <w:r>
                    <w:br/>
                  </w:r>
                  <w:r>
                    <w:rPr>
                      <w:rFonts w:ascii="仿宋_GB2312" w:hAnsi="仿宋_GB2312" w:cs="仿宋_GB2312" w:eastAsia="仿宋_GB2312"/>
                      <w:sz w:val="24"/>
                      <w:color w:val="000000"/>
                    </w:rPr>
                    <w:t xml:space="preserve"> 3) 提供弱密码防护功能，可设置密码最小长度、复杂度，可设置密码不能与用户名相同、新密码不能与旧密码相同。</w:t>
                  </w:r>
                  <w:r>
                    <w:br/>
                  </w:r>
                  <w:r>
                    <w:rPr>
                      <w:rFonts w:ascii="仿宋_GB2312" w:hAnsi="仿宋_GB2312" w:cs="仿宋_GB2312" w:eastAsia="仿宋_GB2312"/>
                      <w:sz w:val="24"/>
                      <w:color w:val="000000"/>
                    </w:rPr>
                    <w:t xml:space="preserve"> 4) ▲提供认证管理功能，802.1x认证可对接本地和AD域用户源进行用户名密码认证，员工账号绑定手机号码和微信号实现上网快捷登录认证，提供截图证明。[A1.1]</w:t>
                  </w:r>
                  <w:r>
                    <w:br/>
                  </w:r>
                  <w:r>
                    <w:rPr>
                      <w:rFonts w:ascii="仿宋_GB2312" w:hAnsi="仿宋_GB2312" w:cs="仿宋_GB2312" w:eastAsia="仿宋_GB2312"/>
                      <w:sz w:val="24"/>
                      <w:color w:val="000000"/>
                    </w:rPr>
                    <w:t xml:space="preserve"> 5) 提供流量动态调整功能，根据网络线路的空闲情况，自动启用和停止使用流量控制策略，以提升带宽的高使用率；其中空闲阈值可自定义。</w:t>
                  </w:r>
                  <w:r>
                    <w:br/>
                  </w:r>
                  <w:r>
                    <w:rPr>
                      <w:rFonts w:ascii="仿宋_GB2312" w:hAnsi="仿宋_GB2312" w:cs="仿宋_GB2312" w:eastAsia="仿宋_GB2312"/>
                      <w:sz w:val="24"/>
                      <w:color w:val="000000"/>
                    </w:rPr>
                    <w:t xml:space="preserve"> 6) 提供加密网页管理功能，支持SSL加密网页的内容检查，针对加密后的钓鱼网站、非法网站，可对员工进行重定向告警。</w:t>
                  </w:r>
                  <w:r>
                    <w:br/>
                  </w:r>
                  <w:r>
                    <w:rPr>
                      <w:rFonts w:ascii="仿宋_GB2312" w:hAnsi="仿宋_GB2312" w:cs="仿宋_GB2312" w:eastAsia="仿宋_GB2312"/>
                      <w:sz w:val="24"/>
                      <w:color w:val="000000"/>
                    </w:rPr>
                    <w:t xml:space="preserve"> 7) 提供网络代理管理功能，实现HTTP、SOCKS4/5上网代理及二级代理；支持代理控制功能，不允许使用外部HTTP代理，不允许使用外部SOCKS4/5代理，不允许在HTTP，SSL一些的标准端口上使用其他协议。</w:t>
                  </w:r>
                  <w:r>
                    <w:br/>
                  </w:r>
                  <w:r>
                    <w:rPr>
                      <w:rFonts w:ascii="仿宋_GB2312" w:hAnsi="仿宋_GB2312" w:cs="仿宋_GB2312" w:eastAsia="仿宋_GB2312"/>
                      <w:sz w:val="24"/>
                      <w:color w:val="000000"/>
                    </w:rPr>
                    <w:t xml:space="preserve"> 8) 提供业务访问审计功能，支持WEB/FTP/SMB类型业务的行为和内容审计；支持服务器外联行为及流量审计。</w:t>
                  </w:r>
                  <w:r>
                    <w:br/>
                  </w:r>
                  <w:r>
                    <w:rPr>
                      <w:rFonts w:ascii="仿宋_GB2312" w:hAnsi="仿宋_GB2312" w:cs="仿宋_GB2312" w:eastAsia="仿宋_GB2312"/>
                      <w:sz w:val="24"/>
                      <w:color w:val="000000"/>
                    </w:rPr>
                    <w:t xml:space="preserve"> 9) ▲提供与防火墙系统实现认证联动，实现单点登录，提供截图证明。</w:t>
                  </w:r>
                  <w:r>
                    <w:br/>
                  </w:r>
                  <w:r>
                    <w:rPr>
                      <w:rFonts w:ascii="仿宋_GB2312" w:hAnsi="仿宋_GB2312" w:cs="仿宋_GB2312" w:eastAsia="仿宋_GB2312"/>
                      <w:sz w:val="24"/>
                      <w:color w:val="000000"/>
                    </w:rPr>
                    <w:t xml:space="preserve"> 10) 提供网络访问质量检测功能，针对网络用户的web访问质量进行检测，对整体网络提供清晰的整体网络质量评级。</w:t>
                  </w:r>
                </w:p>
              </w:tc>
              <w:tc>
                <w:tcPr>
                  <w:tcW w:type="dxa" w:w="134"/>
                  <w:tcBorders>
                    <w:top w:val="none" w:color="000000" w:sz="4"/>
                    <w:left w:val="none" w:color="000000" w:sz="4"/>
                    <w:bottom w:val="single" w:color="000000" w:sz="4"/>
                    <w:right w:val="single" w:color="000000" w:sz="4"/>
                  </w:tcBorders>
                  <w:shd w:fill="DDEBF7"/>
                  <w:tcMar>
                    <w:top w:type="dxa" w:w="0"/>
                    <w:left w:type="dxa" w:w="105"/>
                    <w:bottom w:type="dxa" w:w="0"/>
                    <w:right w:type="dxa" w:w="105"/>
                  </w:tcMar>
                </w:tcPr>
                <w:p>
                  <w:pPr>
                    <w:pStyle w:val="null3"/>
                    <w:jc w:val="center"/>
                  </w:pPr>
                  <w:r>
                    <w:rPr>
                      <w:rFonts w:ascii="仿宋_GB2312" w:hAnsi="仿宋_GB2312" w:cs="仿宋_GB2312" w:eastAsia="仿宋_GB2312"/>
                      <w:sz w:val="24"/>
                      <w:color w:val="333333"/>
                    </w:rPr>
                    <w:t>台</w:t>
                  </w:r>
                </w:p>
              </w:tc>
              <w:tc>
                <w:tcPr>
                  <w:tcW w:type="dxa" w:w="147"/>
                  <w:tcBorders>
                    <w:top w:val="none" w:color="000000" w:sz="4"/>
                    <w:left w:val="none" w:color="000000" w:sz="4"/>
                    <w:bottom w:val="single" w:color="000000" w:sz="4"/>
                    <w:right w:val="single" w:color="000000" w:sz="4"/>
                  </w:tcBorders>
                  <w:shd w:fill="DDEBF7"/>
                  <w:tcMar>
                    <w:top w:type="dxa" w:w="0"/>
                    <w:left w:type="dxa" w:w="105"/>
                    <w:bottom w:type="dxa" w:w="0"/>
                    <w:right w:type="dxa" w:w="105"/>
                  </w:tcMar>
                </w:tcPr>
                <w:p>
                  <w:pPr>
                    <w:pStyle w:val="null3"/>
                    <w:jc w:val="center"/>
                  </w:pPr>
                  <w:r>
                    <w:rPr>
                      <w:rFonts w:ascii="仿宋_GB2312" w:hAnsi="仿宋_GB2312" w:cs="仿宋_GB2312" w:eastAsia="仿宋_GB2312"/>
                      <w:sz w:val="24"/>
                      <w:color w:val="333333"/>
                    </w:rPr>
                    <w:t>1</w:t>
                  </w:r>
                </w:p>
              </w:tc>
            </w:tr>
            <w:tr>
              <w:tc>
                <w:tcPr>
                  <w:tcW w:type="dxa" w:w="197"/>
                  <w:tcBorders>
                    <w:top w:val="none" w:color="000000" w:sz="4"/>
                    <w:left w:val="single" w:color="000000" w:sz="4"/>
                    <w:bottom w:val="single" w:color="000000" w:sz="4"/>
                    <w:right w:val="single" w:color="000000" w:sz="4"/>
                  </w:tcBorders>
                  <w:shd w:fill="DDEBF7"/>
                  <w:tcMar>
                    <w:top w:type="dxa" w:w="0"/>
                    <w:left w:type="dxa" w:w="105"/>
                    <w:bottom w:type="dxa" w:w="0"/>
                    <w:right w:type="dxa" w:w="105"/>
                  </w:tcMar>
                </w:tcPr>
                <w:p>
                  <w:pPr>
                    <w:pStyle w:val="null3"/>
                    <w:jc w:val="left"/>
                  </w:pPr>
                  <w:r>
                    <w:rPr>
                      <w:rFonts w:ascii="仿宋_GB2312" w:hAnsi="仿宋_GB2312" w:cs="仿宋_GB2312" w:eastAsia="仿宋_GB2312"/>
                      <w:sz w:val="24"/>
                      <w:color w:val="000000"/>
                    </w:rPr>
                    <w:t>3</w:t>
                  </w:r>
                </w:p>
              </w:tc>
              <w:tc>
                <w:tcPr>
                  <w:tcW w:type="dxa" w:w="223"/>
                  <w:tcBorders>
                    <w:top w:val="none" w:color="000000" w:sz="4"/>
                    <w:left w:val="none" w:color="000000" w:sz="4"/>
                    <w:bottom w:val="single" w:color="000000" w:sz="4"/>
                    <w:right w:val="single" w:color="000000" w:sz="4"/>
                  </w:tcBorders>
                  <w:shd w:fill="DDEBF7"/>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安全感知管理平台</w:t>
                  </w:r>
                </w:p>
              </w:tc>
              <w:tc>
                <w:tcPr>
                  <w:tcW w:type="dxa" w:w="1845"/>
                  <w:tcBorders>
                    <w:top w:val="none" w:color="000000" w:sz="4"/>
                    <w:left w:val="none" w:color="000000" w:sz="4"/>
                    <w:bottom w:val="single" w:color="000000" w:sz="4"/>
                    <w:right w:val="single" w:color="000000" w:sz="4"/>
                  </w:tcBorders>
                  <w:shd w:fill="DDEBF7"/>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性能参数：网络层吞吐量≥1Gbps。</w:t>
                  </w:r>
                  <w:r>
                    <w:br/>
                  </w:r>
                  <w:r>
                    <w:rPr>
                      <w:rFonts w:ascii="仿宋_GB2312" w:hAnsi="仿宋_GB2312" w:cs="仿宋_GB2312" w:eastAsia="仿宋_GB2312"/>
                      <w:sz w:val="24"/>
                      <w:color w:val="000000"/>
                    </w:rPr>
                    <w:t xml:space="preserve"> 硬件参数：机架式设备，2颗国产化CPU；单颗≥16C，主频≥2.5G，内存≥32GB，系统盘≥480GB SSD，数据盘≥2*4TB，冗余电源，接口≥4千兆电口。</w:t>
                  </w:r>
                  <w:r>
                    <w:br/>
                  </w:r>
                  <w:r>
                    <w:rPr>
                      <w:rFonts w:ascii="仿宋_GB2312" w:hAnsi="仿宋_GB2312" w:cs="仿宋_GB2312" w:eastAsia="仿宋_GB2312"/>
                      <w:sz w:val="24"/>
                      <w:color w:val="000000"/>
                    </w:rPr>
                    <w:t xml:space="preserve"> 不少于3年特征库软件升级服务;3年维保服务。</w:t>
                  </w:r>
                  <w:r>
                    <w:br/>
                  </w:r>
                  <w:r>
                    <w:rPr>
                      <w:rFonts w:ascii="仿宋_GB2312" w:hAnsi="仿宋_GB2312" w:cs="仿宋_GB2312" w:eastAsia="仿宋_GB2312"/>
                      <w:sz w:val="24"/>
                      <w:color w:val="000000"/>
                    </w:rPr>
                    <w:t xml:space="preserve"> 功能参数：</w:t>
                  </w:r>
                  <w:r>
                    <w:br/>
                  </w:r>
                  <w:r>
                    <w:rPr>
                      <w:rFonts w:ascii="仿宋_GB2312" w:hAnsi="仿宋_GB2312" w:cs="仿宋_GB2312" w:eastAsia="仿宋_GB2312"/>
                      <w:sz w:val="24"/>
                      <w:color w:val="000000"/>
                    </w:rPr>
                    <w:t xml:space="preserve"> 1) 支持对安全事件、外部攻击者等维度进行自定义设置实现实时告警展示，支持大屏轮播，可在一个屏幕上自动切换轮播不同的大屏，所有大屏可自定义播放顺序。</w:t>
                  </w:r>
                  <w:r>
                    <w:br/>
                  </w:r>
                  <w:r>
                    <w:rPr>
                      <w:rFonts w:ascii="仿宋_GB2312" w:hAnsi="仿宋_GB2312" w:cs="仿宋_GB2312" w:eastAsia="仿宋_GB2312"/>
                      <w:sz w:val="24"/>
                      <w:color w:val="000000"/>
                    </w:rPr>
                    <w:t xml:space="preserve"> 2) 支持通过主动发送微量包的扫描方式探测潜在的服务器（影子资产）以及学习服务器的基础信息，资产指纹信息包括资产类型、端口、操作系统、mac地址、主机名等。</w:t>
                  </w:r>
                  <w:r>
                    <w:br/>
                  </w:r>
                  <w:r>
                    <w:rPr>
                      <w:rFonts w:ascii="仿宋_GB2312" w:hAnsi="仿宋_GB2312" w:cs="仿宋_GB2312" w:eastAsia="仿宋_GB2312"/>
                      <w:sz w:val="24"/>
                      <w:color w:val="000000"/>
                    </w:rPr>
                    <w:t xml:space="preserve"> 3) 支持跨三层取mac地址，识别资产mac地址，并能够解决不同资产IP冲突问题，以及DHCP场景IP变更的问题。</w:t>
                  </w:r>
                  <w:r>
                    <w:br/>
                  </w:r>
                  <w:r>
                    <w:rPr>
                      <w:rFonts w:ascii="仿宋_GB2312" w:hAnsi="仿宋_GB2312" w:cs="仿宋_GB2312" w:eastAsia="仿宋_GB2312"/>
                      <w:sz w:val="24"/>
                      <w:color w:val="000000"/>
                    </w:rPr>
                    <w:t xml:space="preserve"> 4) ▲支持挖矿专项检测页面，具备挖矿攻击事前、事中和事后全链路的检测分析能力，综合运用威胁情报、IPS特征规则和行为关联分析技术，如检测发现文件传输（上传下载）阶段的异常，对挖矿早期的准备动作即告警，提供截图证明。</w:t>
                  </w:r>
                  <w:r>
                    <w:br/>
                  </w:r>
                  <w:r>
                    <w:rPr>
                      <w:rFonts w:ascii="仿宋_GB2312" w:hAnsi="仿宋_GB2312" w:cs="仿宋_GB2312" w:eastAsia="仿宋_GB2312"/>
                      <w:sz w:val="24"/>
                      <w:color w:val="000000"/>
                    </w:rPr>
                    <w:t xml:space="preserve"> 5) ▲支持SIEM日志关联分析结果的可视化展示。包括数据分布、安全事件趋势图、关联规则告警趋势图、接入设备概况等，可提供每一台设备专项分析的页面。如防火墙外部攻击场景分析、VPN账号异常场景分析、Windows服务器主机异常场景分析等，通过设备专项页面对每一台设备安全情况深度专业化分析，提供截图证明。</w:t>
                  </w:r>
                  <w:r>
                    <w:br/>
                  </w:r>
                  <w:r>
                    <w:rPr>
                      <w:rFonts w:ascii="仿宋_GB2312" w:hAnsi="仿宋_GB2312" w:cs="仿宋_GB2312" w:eastAsia="仿宋_GB2312"/>
                      <w:sz w:val="24"/>
                      <w:color w:val="000000"/>
                    </w:rPr>
                    <w:t xml:space="preserve"> 6) 支持多维度模糊聚类算法将大量外部攻击日志聚合成少量攻击事件，聚合维度包括攻击IP、攻击地址、攻击目标和目标手法。</w:t>
                  </w:r>
                  <w:r>
                    <w:br/>
                  </w:r>
                  <w:r>
                    <w:rPr>
                      <w:rFonts w:ascii="仿宋_GB2312" w:hAnsi="仿宋_GB2312" w:cs="仿宋_GB2312" w:eastAsia="仿宋_GB2312"/>
                      <w:sz w:val="24"/>
                      <w:color w:val="000000"/>
                    </w:rPr>
                    <w:t xml:space="preserve"> 7) 可快速生成月度、季度、年度PPT报表，包含网络安全整体解读、网络安全风险详情、告警及事件响应盘点等，帮助用户高效汇报，体现安全工作价值，提供截图证明。</w:t>
                  </w:r>
                  <w:r>
                    <w:br/>
                  </w:r>
                  <w:r>
                    <w:rPr>
                      <w:rFonts w:ascii="仿宋_GB2312" w:hAnsi="仿宋_GB2312" w:cs="仿宋_GB2312" w:eastAsia="仿宋_GB2312"/>
                      <w:sz w:val="24"/>
                      <w:color w:val="000000"/>
                    </w:rPr>
                    <w:t xml:space="preserve"> 8) 支持快捷菜单悬浮控件，平台全部功能可根据使用习惯自定义添加到快捷控件，方便使用，提高运维工作效率，提供截图证明。</w:t>
                  </w:r>
                  <w:r>
                    <w:br/>
                  </w:r>
                  <w:r>
                    <w:rPr>
                      <w:rFonts w:ascii="仿宋_GB2312" w:hAnsi="仿宋_GB2312" w:cs="仿宋_GB2312" w:eastAsia="仿宋_GB2312"/>
                      <w:sz w:val="24"/>
                      <w:color w:val="000000"/>
                    </w:rPr>
                    <w:t xml:space="preserve"> 9) 具备国家信息安全漏洞共享平台CNVD技术组和用户组成员资质。</w:t>
                  </w:r>
                </w:p>
              </w:tc>
              <w:tc>
                <w:tcPr>
                  <w:tcW w:type="dxa" w:w="134"/>
                  <w:tcBorders>
                    <w:top w:val="none" w:color="000000" w:sz="4"/>
                    <w:left w:val="none" w:color="000000" w:sz="4"/>
                    <w:bottom w:val="single" w:color="000000" w:sz="4"/>
                    <w:right w:val="single" w:color="000000" w:sz="4"/>
                  </w:tcBorders>
                  <w:shd w:fill="DDEBF7"/>
                  <w:tcMar>
                    <w:top w:type="dxa" w:w="0"/>
                    <w:left w:type="dxa" w:w="105"/>
                    <w:bottom w:type="dxa" w:w="0"/>
                    <w:right w:type="dxa" w:w="105"/>
                  </w:tcMar>
                </w:tcPr>
                <w:p>
                  <w:pPr>
                    <w:pStyle w:val="null3"/>
                    <w:jc w:val="center"/>
                  </w:pPr>
                  <w:r>
                    <w:rPr>
                      <w:rFonts w:ascii="仿宋_GB2312" w:hAnsi="仿宋_GB2312" w:cs="仿宋_GB2312" w:eastAsia="仿宋_GB2312"/>
                      <w:sz w:val="24"/>
                      <w:color w:val="333333"/>
                    </w:rPr>
                    <w:t>台</w:t>
                  </w:r>
                </w:p>
              </w:tc>
              <w:tc>
                <w:tcPr>
                  <w:tcW w:type="dxa" w:w="147"/>
                  <w:tcBorders>
                    <w:top w:val="none" w:color="000000" w:sz="4"/>
                    <w:left w:val="none" w:color="000000" w:sz="4"/>
                    <w:bottom w:val="single" w:color="000000" w:sz="4"/>
                    <w:right w:val="single" w:color="000000" w:sz="4"/>
                  </w:tcBorders>
                  <w:shd w:fill="DDEBF7"/>
                  <w:tcMar>
                    <w:top w:type="dxa" w:w="0"/>
                    <w:left w:type="dxa" w:w="105"/>
                    <w:bottom w:type="dxa" w:w="0"/>
                    <w:right w:type="dxa" w:w="105"/>
                  </w:tcMar>
                </w:tcPr>
                <w:p>
                  <w:pPr>
                    <w:pStyle w:val="null3"/>
                    <w:jc w:val="center"/>
                  </w:pPr>
                  <w:r>
                    <w:rPr>
                      <w:rFonts w:ascii="仿宋_GB2312" w:hAnsi="仿宋_GB2312" w:cs="仿宋_GB2312" w:eastAsia="仿宋_GB2312"/>
                      <w:sz w:val="24"/>
                      <w:color w:val="333333"/>
                    </w:rPr>
                    <w:t>1</w:t>
                  </w:r>
                </w:p>
              </w:tc>
            </w:tr>
            <w:tr>
              <w:tc>
                <w:tcPr>
                  <w:tcW w:type="dxa" w:w="197"/>
                  <w:tcBorders>
                    <w:top w:val="none" w:color="000000" w:sz="4"/>
                    <w:left w:val="single" w:color="000000" w:sz="4"/>
                    <w:bottom w:val="single" w:color="000000" w:sz="4"/>
                    <w:right w:val="single" w:color="000000" w:sz="4"/>
                  </w:tcBorders>
                  <w:shd w:fill="DDEBF7"/>
                  <w:tcMar>
                    <w:top w:type="dxa" w:w="0"/>
                    <w:left w:type="dxa" w:w="105"/>
                    <w:bottom w:type="dxa" w:w="0"/>
                    <w:right w:type="dxa" w:w="105"/>
                  </w:tcMar>
                </w:tcPr>
                <w:p>
                  <w:pPr>
                    <w:pStyle w:val="null3"/>
                    <w:jc w:val="left"/>
                  </w:pPr>
                  <w:r>
                    <w:rPr>
                      <w:rFonts w:ascii="仿宋_GB2312" w:hAnsi="仿宋_GB2312" w:cs="仿宋_GB2312" w:eastAsia="仿宋_GB2312"/>
                      <w:sz w:val="24"/>
                      <w:color w:val="000000"/>
                    </w:rPr>
                    <w:t>4</w:t>
                  </w:r>
                </w:p>
              </w:tc>
              <w:tc>
                <w:tcPr>
                  <w:tcW w:type="dxa" w:w="223"/>
                  <w:tcBorders>
                    <w:top w:val="none" w:color="000000" w:sz="4"/>
                    <w:left w:val="none" w:color="000000" w:sz="4"/>
                    <w:bottom w:val="single" w:color="000000" w:sz="4"/>
                    <w:right w:val="single" w:color="000000" w:sz="4"/>
                  </w:tcBorders>
                  <w:shd w:fill="DDEBF7"/>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安全资源池</w:t>
                  </w:r>
                </w:p>
              </w:tc>
              <w:tc>
                <w:tcPr>
                  <w:tcW w:type="dxa" w:w="1845"/>
                  <w:tcBorders>
                    <w:top w:val="none" w:color="000000" w:sz="4"/>
                    <w:left w:val="none" w:color="000000" w:sz="4"/>
                    <w:bottom w:val="single" w:color="000000" w:sz="4"/>
                    <w:right w:val="single" w:color="000000" w:sz="4"/>
                  </w:tcBorders>
                  <w:shd w:fill="DDEBF7"/>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具备云安全服务平台租户管理、安全架构、系统管理等功能模块；</w:t>
                  </w:r>
                  <w:r>
                    <w:br/>
                  </w:r>
                  <w:r>
                    <w:rPr>
                      <w:rFonts w:ascii="仿宋_GB2312" w:hAnsi="仿宋_GB2312" w:cs="仿宋_GB2312" w:eastAsia="仿宋_GB2312"/>
                      <w:sz w:val="24"/>
                      <w:color w:val="000000"/>
                    </w:rPr>
                    <w:t xml:space="preserve"> 不少于3年所有安全模块的软件升级，规则库与URL库更新费用。</w:t>
                  </w:r>
                  <w:r>
                    <w:br/>
                  </w:r>
                  <w:r>
                    <w:rPr>
                      <w:rFonts w:ascii="仿宋_GB2312" w:hAnsi="仿宋_GB2312" w:cs="仿宋_GB2312" w:eastAsia="仿宋_GB2312"/>
                      <w:sz w:val="24"/>
                      <w:color w:val="000000"/>
                    </w:rPr>
                    <w:t xml:space="preserve"> 功能参数：</w:t>
                  </w:r>
                  <w:r>
                    <w:br/>
                  </w:r>
                  <w:r>
                    <w:rPr>
                      <w:rFonts w:ascii="仿宋_GB2312" w:hAnsi="仿宋_GB2312" w:cs="仿宋_GB2312" w:eastAsia="仿宋_GB2312"/>
                      <w:sz w:val="24"/>
                      <w:color w:val="000000"/>
                    </w:rPr>
                    <w:t xml:space="preserve"> 1) 本次共提供3个安全组件的通用授权点，根据实际使用需要可以灵活转换以及叠加，转换的组件类型包含：漏洞扫描系统软件，运维安全管理系统，日志审计分析管理系统，数据库安全审计系统软件，终端安全管理系统软件等组件。</w:t>
                  </w:r>
                  <w:r>
                    <w:br/>
                  </w:r>
                  <w:r>
                    <w:rPr>
                      <w:rFonts w:ascii="仿宋_GB2312" w:hAnsi="仿宋_GB2312" w:cs="仿宋_GB2312" w:eastAsia="仿宋_GB2312"/>
                      <w:sz w:val="24"/>
                      <w:color w:val="000000"/>
                    </w:rPr>
                    <w:t xml:space="preserve"> 2) 支持已分配安全能力规格的动态变更和授权回收，回收后的授权可以分配给其他用户和其他类型的安全能力使用。</w:t>
                  </w:r>
                  <w:r>
                    <w:br/>
                  </w:r>
                  <w:r>
                    <w:rPr>
                      <w:rFonts w:ascii="仿宋_GB2312" w:hAnsi="仿宋_GB2312" w:cs="仿宋_GB2312" w:eastAsia="仿宋_GB2312"/>
                      <w:sz w:val="24"/>
                      <w:color w:val="000000"/>
                    </w:rPr>
                    <w:t xml:space="preserve"> 3) ▲提供云安全统一管理底座，提供统一安全事件管理、报表管理和安全大屏；提供安全风险状态大屏，能够体现业务的风险分布，提供截图证明。</w:t>
                  </w:r>
                  <w:r>
                    <w:br/>
                  </w:r>
                  <w:r>
                    <w:rPr>
                      <w:rFonts w:ascii="仿宋_GB2312" w:hAnsi="仿宋_GB2312" w:cs="仿宋_GB2312" w:eastAsia="仿宋_GB2312"/>
                      <w:sz w:val="24"/>
                      <w:color w:val="000000"/>
                    </w:rPr>
                    <w:t xml:space="preserve"> 4) 面向运维管理人员提供多套安全组件的统一入口，统一管理。</w:t>
                  </w:r>
                  <w:r>
                    <w:br/>
                  </w:r>
                  <w:r>
                    <w:rPr>
                      <w:rFonts w:ascii="仿宋_GB2312" w:hAnsi="仿宋_GB2312" w:cs="仿宋_GB2312" w:eastAsia="仿宋_GB2312"/>
                      <w:sz w:val="24"/>
                      <w:color w:val="000000"/>
                    </w:rPr>
                    <w:t xml:space="preserve"> 5) 整合底层安全服务器资源，构建云安全底层统一计算、存储、网络资源保障底层硬件HA的能力。</w:t>
                  </w:r>
                  <w:r>
                    <w:br/>
                  </w:r>
                  <w:r>
                    <w:rPr>
                      <w:rFonts w:ascii="仿宋_GB2312" w:hAnsi="仿宋_GB2312" w:cs="仿宋_GB2312" w:eastAsia="仿宋_GB2312"/>
                      <w:sz w:val="24"/>
                      <w:color w:val="000000"/>
                    </w:rPr>
                    <w:t xml:space="preserve"> 6) 支持针对安全事件进行分类，至少按照风险等级、事件类型、影响标签、来源、状态等维度来分类。</w:t>
                  </w:r>
                </w:p>
              </w:tc>
              <w:tc>
                <w:tcPr>
                  <w:tcW w:type="dxa" w:w="134"/>
                  <w:tcBorders>
                    <w:top w:val="none" w:color="000000" w:sz="4"/>
                    <w:left w:val="none" w:color="000000" w:sz="4"/>
                    <w:bottom w:val="single" w:color="000000" w:sz="4"/>
                    <w:right w:val="single" w:color="000000" w:sz="4"/>
                  </w:tcBorders>
                  <w:shd w:fill="DDEBF7"/>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套</w:t>
                  </w:r>
                </w:p>
              </w:tc>
              <w:tc>
                <w:tcPr>
                  <w:tcW w:type="dxa" w:w="147"/>
                  <w:tcBorders>
                    <w:top w:val="none" w:color="000000" w:sz="4"/>
                    <w:left w:val="none" w:color="000000" w:sz="4"/>
                    <w:bottom w:val="single" w:color="000000" w:sz="4"/>
                    <w:right w:val="single" w:color="000000" w:sz="4"/>
                  </w:tcBorders>
                  <w:shd w:fill="DDEBF7"/>
                  <w:tcMar>
                    <w:top w:type="dxa" w:w="0"/>
                    <w:left w:type="dxa" w:w="105"/>
                    <w:bottom w:type="dxa" w:w="0"/>
                    <w:right w:type="dxa" w:w="105"/>
                  </w:tcMar>
                </w:tcPr>
                <w:p>
                  <w:pPr>
                    <w:pStyle w:val="null3"/>
                    <w:jc w:val="left"/>
                  </w:pPr>
                  <w:r>
                    <w:rPr>
                      <w:rFonts w:ascii="仿宋_GB2312" w:hAnsi="仿宋_GB2312" w:cs="仿宋_GB2312" w:eastAsia="仿宋_GB2312"/>
                      <w:sz w:val="24"/>
                      <w:color w:val="000000"/>
                    </w:rPr>
                    <w:t>3</w:t>
                  </w:r>
                </w:p>
              </w:tc>
            </w:tr>
            <w:tr>
              <w:tc>
                <w:tcPr>
                  <w:tcW w:type="dxa" w:w="197"/>
                  <w:tcBorders>
                    <w:top w:val="none" w:color="000000" w:sz="4"/>
                    <w:left w:val="single" w:color="000000" w:sz="4"/>
                    <w:bottom w:val="single" w:color="000000" w:sz="4"/>
                    <w:right w:val="single" w:color="000000" w:sz="4"/>
                  </w:tcBorders>
                  <w:shd w:fill="DDEBF7"/>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w:t>
                  </w:r>
                </w:p>
              </w:tc>
              <w:tc>
                <w:tcPr>
                  <w:tcW w:type="dxa" w:w="223"/>
                  <w:tcBorders>
                    <w:top w:val="none" w:color="000000" w:sz="4"/>
                    <w:left w:val="none" w:color="000000" w:sz="4"/>
                    <w:bottom w:val="single" w:color="000000" w:sz="4"/>
                    <w:right w:val="single" w:color="000000" w:sz="4"/>
                  </w:tcBorders>
                  <w:shd w:fill="DDEBF7"/>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国产化国密零信任</w:t>
                  </w:r>
                </w:p>
              </w:tc>
              <w:tc>
                <w:tcPr>
                  <w:tcW w:type="dxa" w:w="1845"/>
                  <w:tcBorders>
                    <w:top w:val="none" w:color="000000" w:sz="4"/>
                    <w:left w:val="none" w:color="000000" w:sz="4"/>
                    <w:bottom w:val="single" w:color="000000" w:sz="4"/>
                    <w:right w:val="single" w:color="000000" w:sz="4"/>
                  </w:tcBorders>
                  <w:shd w:fill="DDEBF7"/>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IPSEC</w:t>
                  </w:r>
                  <w:r>
                    <w:rPr>
                      <w:rFonts w:ascii="仿宋_GB2312" w:hAnsi="仿宋_GB2312" w:cs="仿宋_GB2312" w:eastAsia="仿宋_GB2312"/>
                      <w:sz w:val="24"/>
                      <w:color w:val="000000"/>
                    </w:rPr>
                    <w:t>性能参数：加密最大流量（Mbps）≥100，理论并发隧道数≥1000；SSL性能参数：最大加密流量（Mbps）≥300Mbps，最大并发用户数≥600。</w:t>
                  </w:r>
                  <w:r>
                    <w:br/>
                  </w:r>
                  <w:r>
                    <w:rPr>
                      <w:rFonts w:ascii="仿宋_GB2312" w:hAnsi="仿宋_GB2312" w:cs="仿宋_GB2312" w:eastAsia="仿宋_GB2312"/>
                      <w:sz w:val="24"/>
                      <w:color w:val="000000"/>
                    </w:rPr>
                    <w:t xml:space="preserve"> 硬件参数：机架式设备，内存大小≥16G，硬盘容量≥128G SSD，接口≥6千兆电口，≥4千兆光口。</w:t>
                  </w:r>
                  <w:r>
                    <w:br/>
                  </w:r>
                  <w:r>
                    <w:rPr>
                      <w:rFonts w:ascii="仿宋_GB2312" w:hAnsi="仿宋_GB2312" w:cs="仿宋_GB2312" w:eastAsia="仿宋_GB2312"/>
                      <w:sz w:val="24"/>
                      <w:color w:val="000000"/>
                    </w:rPr>
                    <w:t xml:space="preserve"> 不少于50套*零信任接入授权;3年维保服务。</w:t>
                  </w:r>
                  <w:r>
                    <w:br/>
                  </w:r>
                  <w:r>
                    <w:rPr>
                      <w:rFonts w:ascii="仿宋_GB2312" w:hAnsi="仿宋_GB2312" w:cs="仿宋_GB2312" w:eastAsia="仿宋_GB2312"/>
                      <w:sz w:val="24"/>
                      <w:color w:val="000000"/>
                    </w:rPr>
                    <w:t xml:space="preserve"> 功能参数：</w:t>
                  </w:r>
                  <w:r>
                    <w:br/>
                  </w:r>
                  <w:r>
                    <w:rPr>
                      <w:rFonts w:ascii="仿宋_GB2312" w:hAnsi="仿宋_GB2312" w:cs="仿宋_GB2312" w:eastAsia="仿宋_GB2312"/>
                      <w:sz w:val="24"/>
                      <w:color w:val="000000"/>
                    </w:rPr>
                    <w:t xml:space="preserve"> 1) 支持通过隧道模式和WEB模式发布资源,，其中WEB模式支持透明代理、智能改写等模式，支持开启水印。</w:t>
                  </w:r>
                  <w:r>
                    <w:br/>
                  </w:r>
                  <w:r>
                    <w:rPr>
                      <w:rFonts w:ascii="仿宋_GB2312" w:hAnsi="仿宋_GB2312" w:cs="仿宋_GB2312" w:eastAsia="仿宋_GB2312"/>
                      <w:sz w:val="24"/>
                      <w:color w:val="000000"/>
                    </w:rPr>
                    <w:t xml:space="preserve"> 2) ▲零信任客户端支持多种终端操作系统兼容，包括但不限于：Windows7/10/11、MacOS10/11/12、Ubuntu、Android、iOS、麒麟V10系统、统信V20系统，提供国产化系统厂商相互兼容性证明。</w:t>
                  </w:r>
                  <w:r>
                    <w:br/>
                  </w:r>
                  <w:r>
                    <w:rPr>
                      <w:rFonts w:ascii="仿宋_GB2312" w:hAnsi="仿宋_GB2312" w:cs="仿宋_GB2312" w:eastAsia="仿宋_GB2312"/>
                      <w:sz w:val="24"/>
                      <w:color w:val="000000"/>
                    </w:rPr>
                    <w:t xml:space="preserve"> 3) 支持通过组织架构、角色等方式进行本地用户管理；支持与外部用户管理服务器进行对接；支持批量导入/导出用户；配置不少于10万条弱密码规则。</w:t>
                  </w:r>
                  <w:r>
                    <w:br/>
                  </w:r>
                  <w:r>
                    <w:rPr>
                      <w:rFonts w:ascii="仿宋_GB2312" w:hAnsi="仿宋_GB2312" w:cs="仿宋_GB2312" w:eastAsia="仿宋_GB2312"/>
                      <w:sz w:val="24"/>
                      <w:color w:val="000000"/>
                    </w:rPr>
                    <w:t xml:space="preserve"> 4) 支持限定操作系统、接入IP、指定杀毒软件、用户登录时间等变量动控制态业务访问。</w:t>
                  </w:r>
                  <w:r>
                    <w:br/>
                  </w:r>
                  <w:r>
                    <w:rPr>
                      <w:rFonts w:ascii="仿宋_GB2312" w:hAnsi="仿宋_GB2312" w:cs="仿宋_GB2312" w:eastAsia="仿宋_GB2312"/>
                      <w:sz w:val="24"/>
                      <w:color w:val="000000"/>
                    </w:rPr>
                    <w:t xml:space="preserve"> 5) 支持UDP+TCP单包授权机制，UDP+TCP方式默认不开放端口；支持共享码和一人一码两种模式。</w:t>
                  </w:r>
                  <w:r>
                    <w:br/>
                  </w:r>
                  <w:r>
                    <w:rPr>
                      <w:rFonts w:ascii="仿宋_GB2312" w:hAnsi="仿宋_GB2312" w:cs="仿宋_GB2312" w:eastAsia="仿宋_GB2312"/>
                      <w:sz w:val="24"/>
                      <w:color w:val="000000"/>
                    </w:rPr>
                    <w:t xml:space="preserve"> 6) 支持PC终端登录零信任客户端后，在特定的网络域下只能主动访问网络域对应的IP、IP范围、IP段、域名，且只能被限定的IP、IP范围、IP段访问。</w:t>
                  </w:r>
                  <w:r>
                    <w:br/>
                  </w:r>
                  <w:r>
                    <w:rPr>
                      <w:rFonts w:ascii="仿宋_GB2312" w:hAnsi="仿宋_GB2312" w:cs="仿宋_GB2312" w:eastAsia="仿宋_GB2312"/>
                      <w:sz w:val="24"/>
                      <w:color w:val="000000"/>
                    </w:rPr>
                    <w:t xml:space="preserve"> 7) ▲支持终端环境诊断排查，提供终端诊断工具，支持对当前终端的基本环境进行扫描和一键修复，提供截图证明。</w:t>
                  </w:r>
                  <w:r>
                    <w:br/>
                  </w:r>
                  <w:r>
                    <w:rPr>
                      <w:rFonts w:ascii="仿宋_GB2312" w:hAnsi="仿宋_GB2312" w:cs="仿宋_GB2312" w:eastAsia="仿宋_GB2312"/>
                      <w:sz w:val="24"/>
                      <w:color w:val="000000"/>
                    </w:rPr>
                    <w:t xml:space="preserve"> 8) 支持对设备自身的安全状态和策略配置进行巡检，并输出巡检报告，支持下载。</w:t>
                  </w:r>
                  <w:r>
                    <w:br/>
                  </w:r>
                  <w:r>
                    <w:rPr>
                      <w:rFonts w:ascii="仿宋_GB2312" w:hAnsi="仿宋_GB2312" w:cs="仿宋_GB2312" w:eastAsia="仿宋_GB2312"/>
                      <w:sz w:val="24"/>
                      <w:color w:val="000000"/>
                    </w:rPr>
                    <w:t xml:space="preserve"> 9) ▲支持通过OPEN API的方式将零信任系统的能力开放给第三方业务系统进行调用配置，提供截图证明。</w:t>
                  </w:r>
                  <w:r>
                    <w:br/>
                  </w:r>
                  <w:r>
                    <w:rPr>
                      <w:rFonts w:ascii="仿宋_GB2312" w:hAnsi="仿宋_GB2312" w:cs="仿宋_GB2312" w:eastAsia="仿宋_GB2312"/>
                      <w:sz w:val="24"/>
                      <w:color w:val="000000"/>
                    </w:rPr>
                    <w:t xml:space="preserve"> 10) ▲提供零信任设备《电信设备进网许可证》及《计算机软件著作权登记证书》。</w:t>
                  </w:r>
                  <w:r>
                    <w:br/>
                  </w:r>
                  <w:r>
                    <w:rPr>
                      <w:rFonts w:ascii="仿宋_GB2312" w:hAnsi="仿宋_GB2312" w:cs="仿宋_GB2312" w:eastAsia="仿宋_GB2312"/>
                      <w:sz w:val="24"/>
                      <w:color w:val="000000"/>
                    </w:rPr>
                    <w:t xml:space="preserve"> 11) ▲具备中国网络安全审查认证和市场监管大数据中心颁发的信息安全服务（软件开发）一级资质认证。</w:t>
                  </w:r>
                </w:p>
              </w:tc>
              <w:tc>
                <w:tcPr>
                  <w:tcW w:type="dxa" w:w="134"/>
                  <w:tcBorders>
                    <w:top w:val="none" w:color="000000" w:sz="4"/>
                    <w:left w:val="none" w:color="000000" w:sz="4"/>
                    <w:bottom w:val="single" w:color="000000" w:sz="4"/>
                    <w:right w:val="single" w:color="000000" w:sz="4"/>
                  </w:tcBorders>
                  <w:shd w:fill="DDEBF7"/>
                  <w:tcMar>
                    <w:top w:type="dxa" w:w="0"/>
                    <w:left w:type="dxa" w:w="105"/>
                    <w:bottom w:type="dxa" w:w="0"/>
                    <w:right w:type="dxa" w:w="105"/>
                  </w:tcMar>
                </w:tcPr>
                <w:p>
                  <w:pPr>
                    <w:pStyle w:val="null3"/>
                    <w:jc w:val="center"/>
                  </w:pPr>
                  <w:r>
                    <w:rPr>
                      <w:rFonts w:ascii="仿宋_GB2312" w:hAnsi="仿宋_GB2312" w:cs="仿宋_GB2312" w:eastAsia="仿宋_GB2312"/>
                      <w:sz w:val="24"/>
                      <w:color w:val="333333"/>
                    </w:rPr>
                    <w:t>台</w:t>
                  </w:r>
                </w:p>
              </w:tc>
              <w:tc>
                <w:tcPr>
                  <w:tcW w:type="dxa" w:w="147"/>
                  <w:tcBorders>
                    <w:top w:val="none" w:color="000000" w:sz="4"/>
                    <w:left w:val="none" w:color="000000" w:sz="4"/>
                    <w:bottom w:val="single" w:color="000000" w:sz="4"/>
                    <w:right w:val="single" w:color="000000" w:sz="4"/>
                  </w:tcBorders>
                  <w:shd w:fill="DDEBF7"/>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197"/>
                  <w:tcBorders>
                    <w:top w:val="none" w:color="000000" w:sz="4"/>
                    <w:left w:val="single" w:color="000000" w:sz="4"/>
                    <w:bottom w:val="single" w:color="000000" w:sz="4"/>
                    <w:right w:val="single" w:color="000000" w:sz="4"/>
                  </w:tcBorders>
                  <w:shd w:fill="DDEBF7"/>
                  <w:tcMar>
                    <w:top w:type="dxa" w:w="0"/>
                    <w:left w:type="dxa" w:w="105"/>
                    <w:bottom w:type="dxa" w:w="0"/>
                    <w:right w:type="dxa" w:w="105"/>
                  </w:tcMar>
                </w:tcPr>
                <w:p>
                  <w:pPr>
                    <w:pStyle w:val="null3"/>
                    <w:jc w:val="left"/>
                  </w:pPr>
                  <w:r>
                    <w:rPr>
                      <w:rFonts w:ascii="仿宋_GB2312" w:hAnsi="仿宋_GB2312" w:cs="仿宋_GB2312" w:eastAsia="仿宋_GB2312"/>
                      <w:sz w:val="24"/>
                      <w:color w:val="000000"/>
                    </w:rPr>
                    <w:t>6</w:t>
                  </w:r>
                </w:p>
              </w:tc>
              <w:tc>
                <w:tcPr>
                  <w:tcW w:type="dxa" w:w="223"/>
                  <w:tcBorders>
                    <w:top w:val="none" w:color="000000" w:sz="4"/>
                    <w:left w:val="none" w:color="000000" w:sz="4"/>
                    <w:bottom w:val="single" w:color="000000" w:sz="4"/>
                    <w:right w:val="single" w:color="000000" w:sz="4"/>
                  </w:tcBorders>
                  <w:shd w:fill="DDEBF7"/>
                  <w:tcMar>
                    <w:top w:type="dxa" w:w="0"/>
                    <w:left w:type="dxa" w:w="105"/>
                    <w:bottom w:type="dxa" w:w="0"/>
                    <w:right w:type="dxa" w:w="105"/>
                  </w:tcMar>
                </w:tcPr>
                <w:p>
                  <w:pPr>
                    <w:pStyle w:val="null3"/>
                    <w:jc w:val="left"/>
                  </w:pPr>
                  <w:r>
                    <w:rPr>
                      <w:rFonts w:ascii="仿宋_GB2312" w:hAnsi="仿宋_GB2312" w:cs="仿宋_GB2312" w:eastAsia="仿宋_GB2312"/>
                      <w:sz w:val="24"/>
                      <w:color w:val="000000"/>
                    </w:rPr>
                    <w:t>隔离网闸</w:t>
                  </w:r>
                </w:p>
              </w:tc>
              <w:tc>
                <w:tcPr>
                  <w:tcW w:type="dxa" w:w="1845"/>
                  <w:tcBorders>
                    <w:top w:val="none" w:color="000000" w:sz="4"/>
                    <w:left w:val="none" w:color="000000" w:sz="4"/>
                    <w:bottom w:val="single" w:color="000000" w:sz="4"/>
                    <w:right w:val="single" w:color="000000" w:sz="4"/>
                  </w:tcBorders>
                  <w:shd w:fill="DDEBF7"/>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性能参数：吞吐量≥300Mbps，并发连接数≥10W。性能可叠加至700Mbps。</w:t>
                  </w:r>
                  <w:r>
                    <w:br/>
                  </w:r>
                  <w:r>
                    <w:rPr>
                      <w:rFonts w:ascii="仿宋_GB2312" w:hAnsi="仿宋_GB2312" w:cs="仿宋_GB2312" w:eastAsia="仿宋_GB2312"/>
                      <w:sz w:val="24"/>
                      <w:color w:val="000000"/>
                    </w:rPr>
                    <w:t xml:space="preserve"> 硬件参数：机架式设备，“双主机+隔离卡”架构，单主机硬件信息：≥6千兆电口，内存≥16GB，硬盘≥960G SSD，冗余电源。</w:t>
                  </w:r>
                  <w:r>
                    <w:br/>
                  </w:r>
                  <w:r>
                    <w:rPr>
                      <w:rFonts w:ascii="仿宋_GB2312" w:hAnsi="仿宋_GB2312" w:cs="仿宋_GB2312" w:eastAsia="仿宋_GB2312"/>
                      <w:sz w:val="24"/>
                      <w:color w:val="000000"/>
                    </w:rPr>
                    <w:t xml:space="preserve"> 不少于3年软件升级。</w:t>
                  </w:r>
                  <w:r>
                    <w:br/>
                  </w:r>
                  <w:r>
                    <w:rPr>
                      <w:rFonts w:ascii="仿宋_GB2312" w:hAnsi="仿宋_GB2312" w:cs="仿宋_GB2312" w:eastAsia="仿宋_GB2312"/>
                      <w:sz w:val="24"/>
                      <w:color w:val="000000"/>
                    </w:rPr>
                    <w:t xml:space="preserve"> 功能参数：</w:t>
                  </w:r>
                  <w:r>
                    <w:br/>
                  </w:r>
                  <w:r>
                    <w:rPr>
                      <w:rFonts w:ascii="仿宋_GB2312" w:hAnsi="仿宋_GB2312" w:cs="仿宋_GB2312" w:eastAsia="仿宋_GB2312"/>
                      <w:sz w:val="24"/>
                      <w:color w:val="000000"/>
                    </w:rPr>
                    <w:t xml:space="preserve"> 1) 提供文件交换、数据库访问和同步、视频交换、访问交换等功能模块。</w:t>
                  </w:r>
                  <w:r>
                    <w:br/>
                  </w:r>
                  <w:r>
                    <w:rPr>
                      <w:rFonts w:ascii="仿宋_GB2312" w:hAnsi="仿宋_GB2312" w:cs="仿宋_GB2312" w:eastAsia="仿宋_GB2312"/>
                      <w:sz w:val="24"/>
                      <w:color w:val="000000"/>
                    </w:rPr>
                    <w:t xml:space="preserve"> 2) 支持HTTP/HTTPS等Web传输协议，同时支持WebService传输协议。</w:t>
                  </w:r>
                  <w:r>
                    <w:br/>
                  </w:r>
                  <w:r>
                    <w:rPr>
                      <w:rFonts w:ascii="仿宋_GB2312" w:hAnsi="仿宋_GB2312" w:cs="仿宋_GB2312" w:eastAsia="仿宋_GB2312"/>
                      <w:sz w:val="24"/>
                      <w:color w:val="000000"/>
                    </w:rPr>
                    <w:t xml:space="preserve"> 3) 支持基于TCP、UDP协议的非标准应用协议以及IP、SMTP、POP3、MULTICAST、网络协议等。</w:t>
                  </w:r>
                  <w:r>
                    <w:br/>
                  </w:r>
                  <w:r>
                    <w:rPr>
                      <w:rFonts w:ascii="仿宋_GB2312" w:hAnsi="仿宋_GB2312" w:cs="仿宋_GB2312" w:eastAsia="仿宋_GB2312"/>
                      <w:sz w:val="24"/>
                      <w:color w:val="000000"/>
                    </w:rPr>
                    <w:t xml:space="preserve"> 4) 支持基于FTP、NFS、SFTP、Samba等方式的文件同步。</w:t>
                  </w:r>
                  <w:r>
                    <w:br/>
                  </w:r>
                  <w:r>
                    <w:rPr>
                      <w:rFonts w:ascii="仿宋_GB2312" w:hAnsi="仿宋_GB2312" w:cs="仿宋_GB2312" w:eastAsia="仿宋_GB2312"/>
                      <w:sz w:val="24"/>
                      <w:color w:val="000000"/>
                    </w:rPr>
                    <w:t xml:space="preserve"> 5) 支持Oracle、SQLServer、DB2、MySql及国产达梦、人大金仓等主流同构异构数据库同步功能，并且支持基于向导式的数据库同步任务配置。</w:t>
                  </w:r>
                  <w:r>
                    <w:br/>
                  </w:r>
                  <w:r>
                    <w:rPr>
                      <w:rFonts w:ascii="仿宋_GB2312" w:hAnsi="仿宋_GB2312" w:cs="仿宋_GB2312" w:eastAsia="仿宋_GB2312"/>
                      <w:sz w:val="24"/>
                      <w:color w:val="000000"/>
                    </w:rPr>
                    <w:t xml:space="preserve"> 6) ▲支持主流视频控制协议SIP、RTMP、GB28181，提供截图证明。</w:t>
                  </w:r>
                  <w:r>
                    <w:br/>
                  </w:r>
                  <w:r>
                    <w:rPr>
                      <w:rFonts w:ascii="仿宋_GB2312" w:hAnsi="仿宋_GB2312" w:cs="仿宋_GB2312" w:eastAsia="仿宋_GB2312"/>
                      <w:sz w:val="24"/>
                      <w:color w:val="000000"/>
                    </w:rPr>
                    <w:t xml:space="preserve"> 7) 支持对客户端IP、端口、访问时间、命令的检查过滤功能。</w:t>
                  </w:r>
                  <w:r>
                    <w:br/>
                  </w:r>
                  <w:r>
                    <w:rPr>
                      <w:rFonts w:ascii="仿宋_GB2312" w:hAnsi="仿宋_GB2312" w:cs="仿宋_GB2312" w:eastAsia="仿宋_GB2312"/>
                      <w:sz w:val="24"/>
                      <w:color w:val="000000"/>
                    </w:rPr>
                    <w:t xml:space="preserve"> 8) 支持与第三方日志系统对接，实现基于syslog的日志推送。</w:t>
                  </w:r>
                  <w:r>
                    <w:br/>
                  </w:r>
                  <w:r>
                    <w:rPr>
                      <w:rFonts w:ascii="仿宋_GB2312" w:hAnsi="仿宋_GB2312" w:cs="仿宋_GB2312" w:eastAsia="仿宋_GB2312"/>
                      <w:sz w:val="24"/>
                      <w:color w:val="000000"/>
                    </w:rPr>
                    <w:t xml:space="preserve"> 9) ▲具备中国信息安全认证中心颁发的信息安全服务应急处理资质。</w:t>
                  </w:r>
                </w:p>
              </w:tc>
              <w:tc>
                <w:tcPr>
                  <w:tcW w:type="dxa" w:w="134"/>
                  <w:tcBorders>
                    <w:top w:val="none" w:color="000000" w:sz="4"/>
                    <w:left w:val="none" w:color="000000" w:sz="4"/>
                    <w:bottom w:val="single" w:color="000000" w:sz="4"/>
                    <w:right w:val="single" w:color="000000" w:sz="4"/>
                  </w:tcBorders>
                  <w:shd w:fill="DDEBF7"/>
                  <w:tcMar>
                    <w:top w:type="dxa" w:w="0"/>
                    <w:left w:type="dxa" w:w="105"/>
                    <w:bottom w:type="dxa" w:w="0"/>
                    <w:right w:type="dxa" w:w="105"/>
                  </w:tcMar>
                </w:tcPr>
                <w:p>
                  <w:pPr>
                    <w:pStyle w:val="null3"/>
                    <w:jc w:val="center"/>
                  </w:pPr>
                  <w:r>
                    <w:rPr>
                      <w:rFonts w:ascii="仿宋_GB2312" w:hAnsi="仿宋_GB2312" w:cs="仿宋_GB2312" w:eastAsia="仿宋_GB2312"/>
                      <w:sz w:val="24"/>
                      <w:color w:val="333333"/>
                    </w:rPr>
                    <w:t>台</w:t>
                  </w:r>
                </w:p>
              </w:tc>
              <w:tc>
                <w:tcPr>
                  <w:tcW w:type="dxa" w:w="147"/>
                  <w:tcBorders>
                    <w:top w:val="none" w:color="000000" w:sz="4"/>
                    <w:left w:val="none" w:color="000000" w:sz="4"/>
                    <w:bottom w:val="single" w:color="000000" w:sz="4"/>
                    <w:right w:val="single" w:color="000000" w:sz="4"/>
                  </w:tcBorders>
                  <w:shd w:fill="DDEBF7"/>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197"/>
                  <w:tcBorders>
                    <w:top w:val="none" w:color="000000" w:sz="4"/>
                    <w:left w:val="single" w:color="000000" w:sz="4"/>
                    <w:bottom w:val="single" w:color="000000" w:sz="4"/>
                    <w:right w:val="single" w:color="000000" w:sz="4"/>
                  </w:tcBorders>
                  <w:shd w:fill="E2EFDA"/>
                  <w:tcMar>
                    <w:top w:type="dxa" w:w="0"/>
                    <w:left w:type="dxa" w:w="105"/>
                    <w:bottom w:type="dxa" w:w="0"/>
                    <w:right w:type="dxa" w:w="105"/>
                  </w:tcMar>
                </w:tcPr>
                <w:p>
                  <w:pPr>
                    <w:pStyle w:val="null3"/>
                    <w:jc w:val="left"/>
                  </w:pPr>
                  <w:r>
                    <w:rPr>
                      <w:rFonts w:ascii="仿宋_GB2312" w:hAnsi="仿宋_GB2312" w:cs="仿宋_GB2312" w:eastAsia="仿宋_GB2312"/>
                      <w:sz w:val="24"/>
                      <w:color w:val="000000"/>
                    </w:rPr>
                    <w:t>7</w:t>
                  </w:r>
                </w:p>
              </w:tc>
              <w:tc>
                <w:tcPr>
                  <w:tcW w:type="dxa" w:w="223"/>
                  <w:tcBorders>
                    <w:top w:val="none" w:color="000000" w:sz="4"/>
                    <w:left w:val="none" w:color="000000" w:sz="4"/>
                    <w:bottom w:val="single" w:color="000000" w:sz="4"/>
                    <w:right w:val="single" w:color="000000" w:sz="4"/>
                  </w:tcBorders>
                  <w:shd w:fill="E2EFDA"/>
                  <w:tcMar>
                    <w:top w:type="dxa" w:w="0"/>
                    <w:left w:type="dxa" w:w="105"/>
                    <w:bottom w:type="dxa" w:w="0"/>
                    <w:right w:type="dxa" w:w="105"/>
                  </w:tcMar>
                </w:tcPr>
                <w:p>
                  <w:pPr>
                    <w:pStyle w:val="null3"/>
                    <w:jc w:val="left"/>
                  </w:pPr>
                  <w:r>
                    <w:rPr>
                      <w:rFonts w:ascii="仿宋_GB2312" w:hAnsi="仿宋_GB2312" w:cs="仿宋_GB2312" w:eastAsia="仿宋_GB2312"/>
                      <w:sz w:val="24"/>
                      <w:color w:val="000000"/>
                    </w:rPr>
                    <w:t>签名验签服务器</w:t>
                  </w:r>
                </w:p>
              </w:tc>
              <w:tc>
                <w:tcPr>
                  <w:tcW w:type="dxa" w:w="1845"/>
                  <w:tcBorders>
                    <w:top w:val="none" w:color="000000" w:sz="4"/>
                    <w:left w:val="none" w:color="000000" w:sz="4"/>
                    <w:bottom w:val="single" w:color="000000" w:sz="4"/>
                    <w:right w:val="single" w:color="000000" w:sz="4"/>
                  </w:tcBorders>
                  <w:shd w:fill="E2EFDA"/>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功能描述：签名验签与时间戳二合一服务器可为各类信息系统、终端用户提供基于PKI体系和数字证书的数字签名、验签等密码服务，同时采用精确的时间源，基于PKI技术的时间戳权威系统，可对外提供精确可信的时间戳服务，能够精准确认应用系统处理数据时，在某一时间内相关操作的相对时间顺序；解决业务交易中数据从产生、传输、处理、存储整个过程的机密性、完整性、不可抵赖性以及身份认证等安全问题，为信息系统的安全提供密码服务支撑。</w:t>
                  </w:r>
                  <w:r>
                    <w:br/>
                  </w:r>
                  <w:r>
                    <w:rPr>
                      <w:rFonts w:ascii="仿宋_GB2312" w:hAnsi="仿宋_GB2312" w:cs="仿宋_GB2312" w:eastAsia="仿宋_GB2312"/>
                      <w:sz w:val="24"/>
                      <w:color w:val="000000"/>
                    </w:rPr>
                    <w:t xml:space="preserve"> 规格说明：SM2P1签名≥10000TPS；SM2P1验签≥34000TPS；SM2签名≥10000TPS；SM2验签≥36000TPS；基础机架式：2U信创商密工控机；CPU：≥8核16线程；内存≥8G内存*1；硬盘：≥1T硬盘*1；电源：交流（AC100-240V）；高压直流（DC160-320V）；1+1冗余电源；额定功率：250W；风扇个数≥2；Console口≥1个；USB≥3；网络接口：千兆电口≥6个；接口扩展槽≥3个；国产操作系</w:t>
                  </w:r>
                </w:p>
              </w:tc>
              <w:tc>
                <w:tcPr>
                  <w:tcW w:type="dxa" w:w="134"/>
                  <w:tcBorders>
                    <w:top w:val="none" w:color="000000" w:sz="4"/>
                    <w:left w:val="none" w:color="000000" w:sz="4"/>
                    <w:bottom w:val="single" w:color="000000" w:sz="4"/>
                    <w:right w:val="single" w:color="000000" w:sz="4"/>
                  </w:tcBorders>
                  <w:shd w:fill="E2EFDA"/>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台</w:t>
                  </w:r>
                </w:p>
              </w:tc>
              <w:tc>
                <w:tcPr>
                  <w:tcW w:type="dxa" w:w="147"/>
                  <w:tcBorders>
                    <w:top w:val="none" w:color="000000" w:sz="4"/>
                    <w:left w:val="none" w:color="000000" w:sz="4"/>
                    <w:bottom w:val="single" w:color="000000" w:sz="4"/>
                    <w:right w:val="single" w:color="000000" w:sz="4"/>
                  </w:tcBorders>
                  <w:shd w:fill="E2EFDA"/>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p>
              </w:tc>
            </w:tr>
            <w:tr>
              <w:tc>
                <w:tcPr>
                  <w:tcW w:type="dxa" w:w="197"/>
                  <w:tcBorders>
                    <w:top w:val="none" w:color="000000" w:sz="4"/>
                    <w:left w:val="single" w:color="000000" w:sz="4"/>
                    <w:bottom w:val="single" w:color="000000" w:sz="4"/>
                    <w:right w:val="single" w:color="000000" w:sz="4"/>
                  </w:tcBorders>
                  <w:shd w:fill="E2EFDA"/>
                  <w:tcMar>
                    <w:top w:type="dxa" w:w="0"/>
                    <w:left w:type="dxa" w:w="105"/>
                    <w:bottom w:type="dxa" w:w="0"/>
                    <w:right w:type="dxa" w:w="105"/>
                  </w:tcMar>
                </w:tcPr>
                <w:p>
                  <w:pPr>
                    <w:pStyle w:val="null3"/>
                    <w:jc w:val="left"/>
                  </w:pPr>
                  <w:r>
                    <w:rPr>
                      <w:rFonts w:ascii="仿宋_GB2312" w:hAnsi="仿宋_GB2312" w:cs="仿宋_GB2312" w:eastAsia="仿宋_GB2312"/>
                      <w:sz w:val="24"/>
                      <w:color w:val="000000"/>
                    </w:rPr>
                    <w:t>8</w:t>
                  </w:r>
                </w:p>
              </w:tc>
              <w:tc>
                <w:tcPr>
                  <w:tcW w:type="dxa" w:w="223"/>
                  <w:tcBorders>
                    <w:top w:val="none" w:color="000000" w:sz="4"/>
                    <w:left w:val="none" w:color="000000" w:sz="4"/>
                    <w:bottom w:val="single" w:color="000000" w:sz="4"/>
                    <w:right w:val="single" w:color="000000" w:sz="4"/>
                  </w:tcBorders>
                  <w:shd w:fill="E2EFDA"/>
                  <w:tcMar>
                    <w:top w:type="dxa" w:w="0"/>
                    <w:left w:type="dxa" w:w="105"/>
                    <w:bottom w:type="dxa" w:w="0"/>
                    <w:right w:type="dxa" w:w="105"/>
                  </w:tcMar>
                </w:tcPr>
                <w:p>
                  <w:pPr>
                    <w:pStyle w:val="null3"/>
                    <w:jc w:val="left"/>
                  </w:pPr>
                  <w:r>
                    <w:rPr>
                      <w:rFonts w:ascii="仿宋_GB2312" w:hAnsi="仿宋_GB2312" w:cs="仿宋_GB2312" w:eastAsia="仿宋_GB2312"/>
                      <w:sz w:val="24"/>
                      <w:color w:val="000000"/>
                    </w:rPr>
                    <w:t>服务器密码机</w:t>
                  </w:r>
                </w:p>
              </w:tc>
              <w:tc>
                <w:tcPr>
                  <w:tcW w:type="dxa" w:w="1845"/>
                  <w:tcBorders>
                    <w:top w:val="none" w:color="000000" w:sz="4"/>
                    <w:left w:val="none" w:color="000000" w:sz="4"/>
                    <w:bottom w:val="single" w:color="000000" w:sz="4"/>
                    <w:right w:val="single" w:color="000000" w:sz="4"/>
                  </w:tcBorders>
                  <w:shd w:fill="E2EFDA"/>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功能描述：基于国密算法为各类信息系统提供数据加解密、完整性校验、密钥生成、密钥管理等密码运算服务，确保数据的机密性、完整</w:t>
                  </w:r>
                  <w:r>
                    <w:br/>
                  </w:r>
                  <w:r>
                    <w:rPr>
                      <w:rFonts w:ascii="仿宋_GB2312" w:hAnsi="仿宋_GB2312" w:cs="仿宋_GB2312" w:eastAsia="仿宋_GB2312"/>
                      <w:sz w:val="24"/>
                      <w:color w:val="000000"/>
                    </w:rPr>
                    <w:t xml:space="preserve"> 性，具有处理能力高、性能稳定、功能完善等特点。</w:t>
                  </w:r>
                  <w:r>
                    <w:br/>
                  </w:r>
                  <w:r>
                    <w:rPr>
                      <w:rFonts w:ascii="仿宋_GB2312" w:hAnsi="仿宋_GB2312" w:cs="仿宋_GB2312" w:eastAsia="仿宋_GB2312"/>
                      <w:sz w:val="24"/>
                      <w:color w:val="000000"/>
                    </w:rPr>
                    <w:t xml:space="preserve"> 规格说明：SM2加密速率≥37000TPS；SM2解密速率≥24000TPS；SM4加解密速率≥12Gbps；基础机架式：2U信创商密工控机；CPU：≥8核16线程；内存：≥8G内存*2；硬盘：≥1T硬盘*1；1+1冗余电源；额定功率：350W；风扇个数：≥2；Console口：≥1个；USB*3；网络接口：千兆电口≥6个；接口扩展槽：≥3个；国产操作系统</w:t>
                  </w:r>
                </w:p>
              </w:tc>
              <w:tc>
                <w:tcPr>
                  <w:tcW w:type="dxa" w:w="134"/>
                  <w:tcBorders>
                    <w:top w:val="none" w:color="000000" w:sz="4"/>
                    <w:left w:val="none" w:color="000000" w:sz="4"/>
                    <w:bottom w:val="single" w:color="000000" w:sz="4"/>
                    <w:right w:val="single" w:color="000000" w:sz="4"/>
                  </w:tcBorders>
                  <w:shd w:fill="E2EFDA"/>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台</w:t>
                  </w:r>
                </w:p>
              </w:tc>
              <w:tc>
                <w:tcPr>
                  <w:tcW w:type="dxa" w:w="147"/>
                  <w:tcBorders>
                    <w:top w:val="none" w:color="000000" w:sz="4"/>
                    <w:left w:val="none" w:color="000000" w:sz="4"/>
                    <w:bottom w:val="single" w:color="000000" w:sz="4"/>
                    <w:right w:val="single" w:color="000000" w:sz="4"/>
                  </w:tcBorders>
                  <w:shd w:fill="E2EFDA"/>
                  <w:tcMar>
                    <w:top w:type="dxa" w:w="0"/>
                    <w:left w:type="dxa" w:w="105"/>
                    <w:bottom w:type="dxa" w:w="0"/>
                    <w:right w:type="dxa" w:w="105"/>
                  </w:tcMar>
                </w:tcPr>
                <w:p>
                  <w:pPr>
                    <w:pStyle w:val="null3"/>
                    <w:jc w:val="left"/>
                  </w:pPr>
                  <w:r>
                    <w:rPr>
                      <w:rFonts w:ascii="仿宋_GB2312" w:hAnsi="仿宋_GB2312" w:cs="仿宋_GB2312" w:eastAsia="仿宋_GB2312"/>
                      <w:sz w:val="24"/>
                      <w:color w:val="000000"/>
                    </w:rPr>
                    <w:t>2</w:t>
                  </w:r>
                </w:p>
              </w:tc>
            </w:tr>
            <w:tr>
              <w:tc>
                <w:tcPr>
                  <w:tcW w:type="dxa" w:w="197"/>
                  <w:tcBorders>
                    <w:top w:val="none" w:color="000000" w:sz="4"/>
                    <w:left w:val="single" w:color="000000" w:sz="4"/>
                    <w:bottom w:val="single" w:color="000000" w:sz="4"/>
                    <w:right w:val="single" w:color="000000" w:sz="4"/>
                  </w:tcBorders>
                  <w:shd w:fill="E2EFDA"/>
                  <w:tcMar>
                    <w:top w:type="dxa" w:w="0"/>
                    <w:left w:type="dxa" w:w="105"/>
                    <w:bottom w:type="dxa" w:w="0"/>
                    <w:right w:type="dxa" w:w="105"/>
                  </w:tcMar>
                </w:tcPr>
                <w:p>
                  <w:pPr>
                    <w:pStyle w:val="null3"/>
                    <w:jc w:val="left"/>
                  </w:pPr>
                  <w:r>
                    <w:rPr>
                      <w:rFonts w:ascii="仿宋_GB2312" w:hAnsi="仿宋_GB2312" w:cs="仿宋_GB2312" w:eastAsia="仿宋_GB2312"/>
                      <w:sz w:val="24"/>
                      <w:color w:val="000000"/>
                    </w:rPr>
                    <w:t>9</w:t>
                  </w:r>
                </w:p>
              </w:tc>
              <w:tc>
                <w:tcPr>
                  <w:tcW w:type="dxa" w:w="223"/>
                  <w:tcBorders>
                    <w:top w:val="none" w:color="000000" w:sz="4"/>
                    <w:left w:val="none" w:color="000000" w:sz="4"/>
                    <w:bottom w:val="single" w:color="000000" w:sz="4"/>
                    <w:right w:val="single" w:color="000000" w:sz="4"/>
                  </w:tcBorders>
                  <w:shd w:fill="E2EFDA"/>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国密浏览器</w:t>
                  </w:r>
                </w:p>
              </w:tc>
              <w:tc>
                <w:tcPr>
                  <w:tcW w:type="dxa" w:w="1845"/>
                  <w:tcBorders>
                    <w:top w:val="none" w:color="000000" w:sz="4"/>
                    <w:left w:val="none" w:color="000000" w:sz="4"/>
                    <w:bottom w:val="single" w:color="000000" w:sz="4"/>
                    <w:right w:val="single" w:color="000000" w:sz="4"/>
                  </w:tcBorders>
                  <w:shd w:fill="E2EFDA"/>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功能描述：国产化安全浏览器客户端是运行在用户终端的一个浏览器程序，为用户访问应用系统提供支撑，包括：基础功能、安全管控功能等部分。实现对使用人员各WEB应用系统的承载访问的便捷性和安全性</w:t>
                  </w:r>
                </w:p>
              </w:tc>
              <w:tc>
                <w:tcPr>
                  <w:tcW w:type="dxa" w:w="134"/>
                  <w:tcBorders>
                    <w:top w:val="none" w:color="000000" w:sz="4"/>
                    <w:left w:val="none" w:color="000000" w:sz="4"/>
                    <w:bottom w:val="single" w:color="000000" w:sz="4"/>
                    <w:right w:val="single" w:color="000000" w:sz="4"/>
                  </w:tcBorders>
                  <w:shd w:fill="E2EFDA"/>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套</w:t>
                  </w:r>
                </w:p>
              </w:tc>
              <w:tc>
                <w:tcPr>
                  <w:tcW w:type="dxa" w:w="147"/>
                  <w:tcBorders>
                    <w:top w:val="none" w:color="000000" w:sz="4"/>
                    <w:left w:val="none" w:color="000000" w:sz="4"/>
                    <w:bottom w:val="single" w:color="000000" w:sz="4"/>
                    <w:right w:val="single" w:color="000000" w:sz="4"/>
                  </w:tcBorders>
                  <w:shd w:fill="E2EFDA"/>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10</w:t>
                  </w:r>
                </w:p>
              </w:tc>
            </w:tr>
            <w:tr>
              <w:tc>
                <w:tcPr>
                  <w:tcW w:type="dxa" w:w="197"/>
                  <w:tcBorders>
                    <w:top w:val="none" w:color="000000" w:sz="4"/>
                    <w:left w:val="single" w:color="000000" w:sz="4"/>
                    <w:bottom w:val="single" w:color="000000" w:sz="4"/>
                    <w:right w:val="single" w:color="000000" w:sz="4"/>
                  </w:tcBorders>
                  <w:shd w:fill="E2EFDA"/>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10</w:t>
                  </w:r>
                </w:p>
              </w:tc>
              <w:tc>
                <w:tcPr>
                  <w:tcW w:type="dxa" w:w="223"/>
                  <w:tcBorders>
                    <w:top w:val="none" w:color="000000" w:sz="4"/>
                    <w:left w:val="none" w:color="000000" w:sz="4"/>
                    <w:bottom w:val="single" w:color="000000" w:sz="4"/>
                    <w:right w:val="single" w:color="000000" w:sz="4"/>
                  </w:tcBorders>
                  <w:shd w:fill="E2EFDA"/>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国密U盾</w:t>
                  </w:r>
                </w:p>
              </w:tc>
              <w:tc>
                <w:tcPr>
                  <w:tcW w:type="dxa" w:w="1845"/>
                  <w:tcBorders>
                    <w:top w:val="none" w:color="000000" w:sz="4"/>
                    <w:left w:val="none" w:color="000000" w:sz="4"/>
                    <w:bottom w:val="single" w:color="000000" w:sz="4"/>
                    <w:right w:val="single" w:color="000000" w:sz="4"/>
                  </w:tcBorders>
                  <w:shd w:fill="E2EFDA"/>
                  <w:tcMar>
                    <w:top w:type="dxa" w:w="0"/>
                    <w:left w:type="dxa" w:w="105"/>
                    <w:bottom w:type="dxa" w:w="0"/>
                    <w:right w:type="dxa" w:w="105"/>
                  </w:tcMar>
                </w:tcPr>
                <w:p>
                  <w:pPr>
                    <w:pStyle w:val="null3"/>
                    <w:jc w:val="left"/>
                  </w:pPr>
                  <w:r>
                    <w:rPr>
                      <w:rFonts w:ascii="仿宋_GB2312" w:hAnsi="仿宋_GB2312" w:cs="仿宋_GB2312" w:eastAsia="仿宋_GB2312"/>
                      <w:sz w:val="24"/>
                      <w:color w:val="000000"/>
                    </w:rPr>
                    <w:t>UKEY+CA</w:t>
                  </w:r>
                  <w:r>
                    <w:rPr>
                      <w:rFonts w:ascii="仿宋_GB2312" w:hAnsi="仿宋_GB2312" w:cs="仿宋_GB2312" w:eastAsia="仿宋_GB2312"/>
                      <w:sz w:val="24"/>
                      <w:color w:val="000000"/>
                    </w:rPr>
                    <w:t>证书（个人证书）</w:t>
                  </w:r>
                </w:p>
              </w:tc>
              <w:tc>
                <w:tcPr>
                  <w:tcW w:type="dxa" w:w="134"/>
                  <w:tcBorders>
                    <w:top w:val="none" w:color="000000" w:sz="4"/>
                    <w:left w:val="none" w:color="000000" w:sz="4"/>
                    <w:bottom w:val="single" w:color="000000" w:sz="4"/>
                    <w:right w:val="single" w:color="000000" w:sz="4"/>
                  </w:tcBorders>
                  <w:shd w:fill="E2EFDA"/>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套</w:t>
                  </w:r>
                </w:p>
              </w:tc>
              <w:tc>
                <w:tcPr>
                  <w:tcW w:type="dxa" w:w="147"/>
                  <w:tcBorders>
                    <w:top w:val="none" w:color="000000" w:sz="4"/>
                    <w:left w:val="none" w:color="000000" w:sz="4"/>
                    <w:bottom w:val="single" w:color="000000" w:sz="4"/>
                    <w:right w:val="single" w:color="000000" w:sz="4"/>
                  </w:tcBorders>
                  <w:shd w:fill="E2EFDA"/>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10</w:t>
                  </w:r>
                </w:p>
              </w:tc>
            </w:tr>
            <w:tr>
              <w:tc>
                <w:tcPr>
                  <w:tcW w:type="dxa" w:w="197"/>
                  <w:tcBorders>
                    <w:top w:val="none" w:color="000000" w:sz="4"/>
                    <w:left w:val="single" w:color="000000" w:sz="4"/>
                    <w:bottom w:val="single" w:color="000000" w:sz="4"/>
                    <w:right w:val="single" w:color="000000" w:sz="4"/>
                  </w:tcBorders>
                  <w:shd w:fill="E2EFDA"/>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11</w:t>
                  </w:r>
                </w:p>
              </w:tc>
              <w:tc>
                <w:tcPr>
                  <w:tcW w:type="dxa" w:w="223"/>
                  <w:tcBorders>
                    <w:top w:val="none" w:color="000000" w:sz="4"/>
                    <w:left w:val="none" w:color="000000" w:sz="4"/>
                    <w:bottom w:val="single" w:color="000000" w:sz="4"/>
                    <w:right w:val="single" w:color="000000" w:sz="4"/>
                  </w:tcBorders>
                  <w:shd w:fill="E2EFDA"/>
                  <w:tcMar>
                    <w:top w:type="dxa" w:w="0"/>
                    <w:left w:type="dxa" w:w="105"/>
                    <w:bottom w:type="dxa" w:w="0"/>
                    <w:right w:type="dxa" w:w="105"/>
                  </w:tcMar>
                </w:tcPr>
                <w:p>
                  <w:pPr>
                    <w:pStyle w:val="null3"/>
                    <w:jc w:val="left"/>
                  </w:pPr>
                  <w:r>
                    <w:rPr>
                      <w:rFonts w:ascii="仿宋_GB2312" w:hAnsi="仿宋_GB2312" w:cs="仿宋_GB2312" w:eastAsia="仿宋_GB2312"/>
                      <w:sz w:val="24"/>
                      <w:color w:val="000000"/>
                    </w:rPr>
                    <w:t>CA</w:t>
                  </w:r>
                  <w:r>
                    <w:rPr>
                      <w:rFonts w:ascii="仿宋_GB2312" w:hAnsi="仿宋_GB2312" w:cs="仿宋_GB2312" w:eastAsia="仿宋_GB2312"/>
                      <w:sz w:val="24"/>
                      <w:color w:val="000000"/>
                    </w:rPr>
                    <w:t>证书（站点证书）</w:t>
                  </w:r>
                </w:p>
              </w:tc>
              <w:tc>
                <w:tcPr>
                  <w:tcW w:type="dxa" w:w="1845"/>
                  <w:tcBorders>
                    <w:top w:val="none" w:color="000000" w:sz="4"/>
                    <w:left w:val="none" w:color="000000" w:sz="4"/>
                    <w:bottom w:val="single" w:color="000000" w:sz="4"/>
                    <w:right w:val="single" w:color="000000" w:sz="4"/>
                  </w:tcBorders>
                  <w:shd w:fill="E2EFDA"/>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功能描述：超快SSLV1证书是V1级别国密SSL证书，参考国际标准中的DV级别域名验证标准，并遵循国家标准GMT0024-2014《SSLVPN技术规范》，支持SM2/SM3/SM4国产密码算法和国密安全协议，使用国密算法实现高强度SSL加密连接，通过自主可控的密码技术，保护客户端到服务器之间的数据传输安全，满足网站国密算法HTTPS加密需求。</w:t>
                  </w:r>
                  <w:r>
                    <w:br/>
                  </w:r>
                  <w:r>
                    <w:rPr>
                      <w:rFonts w:ascii="仿宋_GB2312" w:hAnsi="仿宋_GB2312" w:cs="仿宋_GB2312" w:eastAsia="仿宋_GB2312"/>
                      <w:sz w:val="24"/>
                      <w:color w:val="000000"/>
                    </w:rPr>
                    <w:t xml:space="preserve"> 超快SSLV1证书支持在国密浏览器中显示安全锁，帮助用户轻松判断网站连接的安全状态。</w:t>
                  </w:r>
                  <w:r>
                    <w:br/>
                  </w:r>
                  <w:r>
                    <w:rPr>
                      <w:rFonts w:ascii="仿宋_GB2312" w:hAnsi="仿宋_GB2312" w:cs="仿宋_GB2312" w:eastAsia="仿宋_GB2312"/>
                      <w:sz w:val="24"/>
                      <w:color w:val="000000"/>
                    </w:rPr>
                    <w:t xml:space="preserve"> 规格说明：国密证书</w:t>
                  </w:r>
                </w:p>
              </w:tc>
              <w:tc>
                <w:tcPr>
                  <w:tcW w:type="dxa" w:w="134"/>
                  <w:tcBorders>
                    <w:top w:val="none" w:color="000000" w:sz="4"/>
                    <w:left w:val="none" w:color="000000" w:sz="4"/>
                    <w:bottom w:val="single" w:color="000000" w:sz="4"/>
                    <w:right w:val="single" w:color="000000" w:sz="4"/>
                  </w:tcBorders>
                  <w:shd w:fill="E2EFDA"/>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套</w:t>
                  </w:r>
                </w:p>
              </w:tc>
              <w:tc>
                <w:tcPr>
                  <w:tcW w:type="dxa" w:w="147"/>
                  <w:tcBorders>
                    <w:top w:val="none" w:color="000000" w:sz="4"/>
                    <w:left w:val="none" w:color="000000" w:sz="4"/>
                    <w:bottom w:val="single" w:color="000000" w:sz="4"/>
                    <w:right w:val="single" w:color="000000" w:sz="4"/>
                  </w:tcBorders>
                  <w:shd w:fill="E2EFDA"/>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p>
              </w:tc>
            </w:tr>
            <w:tr>
              <w:tc>
                <w:tcPr>
                  <w:tcW w:type="dxa" w:w="197"/>
                  <w:tcBorders>
                    <w:top w:val="none" w:color="000000" w:sz="4"/>
                    <w:left w:val="single" w:color="000000" w:sz="4"/>
                    <w:bottom w:val="single" w:color="000000" w:sz="4"/>
                    <w:right w:val="single" w:color="000000" w:sz="4"/>
                  </w:tcBorders>
                  <w:shd w:fill="E2EFDA"/>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12</w:t>
                  </w:r>
                </w:p>
              </w:tc>
              <w:tc>
                <w:tcPr>
                  <w:tcW w:type="dxa" w:w="223"/>
                  <w:tcBorders>
                    <w:top w:val="none" w:color="000000" w:sz="4"/>
                    <w:left w:val="none" w:color="000000" w:sz="4"/>
                    <w:bottom w:val="single" w:color="000000" w:sz="4"/>
                    <w:right w:val="single" w:color="000000" w:sz="4"/>
                  </w:tcBorders>
                  <w:shd w:fill="E2EFDA"/>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国内通用短信套餐包</w:t>
                  </w:r>
                </w:p>
              </w:tc>
              <w:tc>
                <w:tcPr>
                  <w:tcW w:type="dxa" w:w="1845"/>
                  <w:tcBorders>
                    <w:top w:val="none" w:color="000000" w:sz="4"/>
                    <w:left w:val="none" w:color="000000" w:sz="4"/>
                    <w:bottom w:val="single" w:color="000000" w:sz="4"/>
                    <w:right w:val="single" w:color="000000" w:sz="4"/>
                  </w:tcBorders>
                  <w:shd w:fill="E2EFDA"/>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、提供国内通用短信套餐包服务，用于国内文本短信消息服务；</w:t>
                  </w:r>
                  <w:r>
                    <w:br/>
                  </w:r>
                  <w:r>
                    <w:rPr>
                      <w:rFonts w:ascii="仿宋_GB2312" w:hAnsi="仿宋_GB2312" w:cs="仿宋_GB2312" w:eastAsia="仿宋_GB2312"/>
                      <w:sz w:val="24"/>
                      <w:color w:val="000000"/>
                    </w:rPr>
                    <w:t xml:space="preserve"> 2、国内通用短信套餐包服务包含5万条短信，时长3年</w:t>
                  </w:r>
                </w:p>
              </w:tc>
              <w:tc>
                <w:tcPr>
                  <w:tcW w:type="dxa" w:w="134"/>
                  <w:tcBorders>
                    <w:top w:val="none" w:color="000000" w:sz="4"/>
                    <w:left w:val="none" w:color="000000" w:sz="4"/>
                    <w:bottom w:val="single" w:color="000000" w:sz="4"/>
                    <w:right w:val="single" w:color="000000" w:sz="4"/>
                  </w:tcBorders>
                  <w:shd w:fill="E2EFDA"/>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套</w:t>
                  </w:r>
                </w:p>
              </w:tc>
              <w:tc>
                <w:tcPr>
                  <w:tcW w:type="dxa" w:w="147"/>
                  <w:tcBorders>
                    <w:top w:val="none" w:color="000000" w:sz="4"/>
                    <w:left w:val="none" w:color="000000" w:sz="4"/>
                    <w:bottom w:val="single" w:color="000000" w:sz="4"/>
                    <w:right w:val="single" w:color="000000" w:sz="4"/>
                  </w:tcBorders>
                  <w:shd w:fill="E2EFDA"/>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w:t>
                  </w:r>
                </w:p>
              </w:tc>
            </w:tr>
            <w:tr>
              <w:tc>
                <w:tcPr>
                  <w:tcW w:type="dxa" w:w="197"/>
                  <w:tcBorders>
                    <w:top w:val="none" w:color="000000" w:sz="4"/>
                    <w:left w:val="single" w:color="000000" w:sz="4"/>
                    <w:bottom w:val="single" w:color="000000" w:sz="4"/>
                    <w:right w:val="single" w:color="000000" w:sz="4"/>
                  </w:tcBorders>
                  <w:shd w:fill="E2EFDA"/>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13</w:t>
                  </w:r>
                </w:p>
              </w:tc>
              <w:tc>
                <w:tcPr>
                  <w:tcW w:type="dxa" w:w="223"/>
                  <w:tcBorders>
                    <w:top w:val="none" w:color="000000" w:sz="4"/>
                    <w:left w:val="none" w:color="000000" w:sz="4"/>
                    <w:bottom w:val="single" w:color="000000" w:sz="4"/>
                    <w:right w:val="single" w:color="000000" w:sz="4"/>
                  </w:tcBorders>
                  <w:shd w:fill="E2EFDA"/>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堡垒机</w:t>
                  </w:r>
                </w:p>
              </w:tc>
              <w:tc>
                <w:tcPr>
                  <w:tcW w:type="dxa" w:w="1845"/>
                  <w:tcBorders>
                    <w:top w:val="none" w:color="000000" w:sz="4"/>
                    <w:left w:val="none" w:color="000000" w:sz="4"/>
                    <w:bottom w:val="single" w:color="000000" w:sz="4"/>
                    <w:right w:val="single" w:color="000000" w:sz="4"/>
                  </w:tcBorders>
                  <w:shd w:fill="E2EFDA"/>
                  <w:tcMar>
                    <w:top w:type="dxa" w:w="0"/>
                    <w:left w:type="dxa" w:w="105"/>
                    <w:bottom w:type="dxa" w:w="0"/>
                    <w:right w:type="dxa" w:w="105"/>
                  </w:tcMar>
                </w:tcPr>
                <w:p>
                  <w:pPr>
                    <w:pStyle w:val="null3"/>
                    <w:jc w:val="left"/>
                  </w:pPr>
                  <w:r>
                    <w:rPr>
                      <w:rFonts w:ascii="仿宋_GB2312" w:hAnsi="仿宋_GB2312" w:cs="仿宋_GB2312" w:eastAsia="仿宋_GB2312"/>
                      <w:sz w:val="24"/>
                      <w:color w:val="000000"/>
                    </w:rPr>
                    <w:t>硬件规格：标准2U国产化设备，冗余电源，使用海光C86 3250 CPU，16G内存；4个千兆电口，1个Console口，2个USB接口，1个MGT管理口，1个HA口，1个VGA接口，含密码卡。</w:t>
                  </w:r>
                  <w:r>
                    <w:br/>
                  </w:r>
                  <w:r>
                    <w:rPr>
                      <w:rFonts w:ascii="仿宋_GB2312" w:hAnsi="仿宋_GB2312" w:cs="仿宋_GB2312" w:eastAsia="仿宋_GB2312"/>
                      <w:sz w:val="24"/>
                      <w:color w:val="000000"/>
                    </w:rPr>
                    <w:t xml:space="preserve"> 国密堡垒机支持通过SSH、RDP、VNC、Telnet、FTP等协议运维客户资源，审计运维行为，符合GM/T 0028《密码模块安全技术要求》</w:t>
                  </w:r>
                  <w:r>
                    <w:br/>
                  </w:r>
                  <w:r>
                    <w:rPr>
                      <w:rFonts w:ascii="仿宋_GB2312" w:hAnsi="仿宋_GB2312" w:cs="仿宋_GB2312" w:eastAsia="仿宋_GB2312"/>
                      <w:sz w:val="24"/>
                      <w:color w:val="000000"/>
                    </w:rPr>
                    <w:t xml:space="preserve"> 授权：含50个运维资源授权</w:t>
                  </w:r>
                </w:p>
              </w:tc>
              <w:tc>
                <w:tcPr>
                  <w:tcW w:type="dxa" w:w="134"/>
                  <w:tcBorders>
                    <w:top w:val="none" w:color="000000" w:sz="4"/>
                    <w:left w:val="none" w:color="000000" w:sz="4"/>
                    <w:bottom w:val="single" w:color="000000" w:sz="4"/>
                    <w:right w:val="single" w:color="000000" w:sz="4"/>
                  </w:tcBorders>
                  <w:shd w:fill="E2EFDA"/>
                  <w:tcMar>
                    <w:top w:type="dxa" w:w="0"/>
                    <w:left w:type="dxa" w:w="105"/>
                    <w:bottom w:type="dxa" w:w="0"/>
                    <w:right w:type="dxa" w:w="105"/>
                  </w:tcMar>
                </w:tcPr>
                <w:p>
                  <w:pPr>
                    <w:pStyle w:val="null3"/>
                    <w:jc w:val="center"/>
                  </w:pPr>
                  <w:r>
                    <w:rPr>
                      <w:rFonts w:ascii="仿宋_GB2312" w:hAnsi="仿宋_GB2312" w:cs="仿宋_GB2312" w:eastAsia="仿宋_GB2312"/>
                      <w:sz w:val="24"/>
                      <w:color w:val="333333"/>
                    </w:rPr>
                    <w:t>台</w:t>
                  </w:r>
                </w:p>
              </w:tc>
              <w:tc>
                <w:tcPr>
                  <w:tcW w:type="dxa" w:w="147"/>
                  <w:tcBorders>
                    <w:top w:val="none" w:color="000000" w:sz="4"/>
                    <w:left w:val="none" w:color="000000" w:sz="4"/>
                    <w:bottom w:val="single" w:color="000000" w:sz="4"/>
                    <w:right w:val="single" w:color="000000" w:sz="4"/>
                  </w:tcBorders>
                  <w:shd w:fill="E2EFDA"/>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r>
            <w:tr>
              <w:tc>
                <w:tcPr>
                  <w:tcW w:type="dxa" w:w="197"/>
                  <w:tcBorders>
                    <w:top w:val="none" w:color="000000" w:sz="4"/>
                    <w:left w:val="single" w:color="000000" w:sz="4"/>
                    <w:bottom w:val="single" w:color="000000" w:sz="4"/>
                    <w:right w:val="single" w:color="000000" w:sz="4"/>
                  </w:tcBorders>
                  <w:shd w:fill="FCE4D6"/>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14</w:t>
                  </w:r>
                </w:p>
              </w:tc>
              <w:tc>
                <w:tcPr>
                  <w:tcW w:type="dxa" w:w="223"/>
                  <w:tcBorders>
                    <w:top w:val="none" w:color="000000" w:sz="4"/>
                    <w:left w:val="none" w:color="000000" w:sz="4"/>
                    <w:bottom w:val="single" w:color="000000" w:sz="4"/>
                    <w:right w:val="single" w:color="000000" w:sz="4"/>
                  </w:tcBorders>
                  <w:shd w:fill="FCE4D6"/>
                  <w:tcMar>
                    <w:top w:type="dxa" w:w="0"/>
                    <w:left w:type="dxa" w:w="105"/>
                    <w:bottom w:type="dxa" w:w="0"/>
                    <w:right w:type="dxa" w:w="105"/>
                  </w:tcMar>
                </w:tcPr>
                <w:p>
                  <w:pPr>
                    <w:pStyle w:val="null3"/>
                    <w:jc w:val="left"/>
                  </w:pPr>
                  <w:r>
                    <w:rPr>
                      <w:rFonts w:ascii="仿宋_GB2312" w:hAnsi="仿宋_GB2312" w:cs="仿宋_GB2312" w:eastAsia="仿宋_GB2312"/>
                      <w:sz w:val="24"/>
                      <w:color w:val="000000"/>
                    </w:rPr>
                    <w:t>专线链路</w:t>
                  </w:r>
                </w:p>
              </w:tc>
              <w:tc>
                <w:tcPr>
                  <w:tcW w:type="dxa" w:w="1845"/>
                  <w:tcBorders>
                    <w:top w:val="none" w:color="000000" w:sz="4"/>
                    <w:left w:val="none" w:color="000000" w:sz="4"/>
                    <w:bottom w:val="single" w:color="000000" w:sz="4"/>
                    <w:right w:val="single" w:color="000000" w:sz="4"/>
                  </w:tcBorders>
                  <w:shd w:fill="FCE4D6"/>
                  <w:tcMar>
                    <w:top w:type="dxa" w:w="0"/>
                    <w:left w:type="dxa" w:w="105"/>
                    <w:bottom w:type="dxa" w:w="0"/>
                    <w:right w:type="dxa" w:w="105"/>
                  </w:tcMar>
                </w:tcPr>
                <w:p>
                  <w:pPr>
                    <w:pStyle w:val="null3"/>
                    <w:jc w:val="left"/>
                  </w:pPr>
                  <w:r>
                    <w:rPr>
                      <w:rFonts w:ascii="仿宋_GB2312" w:hAnsi="仿宋_GB2312" w:cs="仿宋_GB2312" w:eastAsia="仿宋_GB2312"/>
                      <w:sz w:val="24"/>
                      <w:color w:val="000000"/>
                    </w:rPr>
                    <w:t>提供运营商50M专线租赁服务</w:t>
                  </w:r>
                </w:p>
              </w:tc>
              <w:tc>
                <w:tcPr>
                  <w:tcW w:type="dxa" w:w="134"/>
                  <w:tcBorders>
                    <w:top w:val="none" w:color="000000" w:sz="4"/>
                    <w:left w:val="none" w:color="000000" w:sz="4"/>
                    <w:bottom w:val="single" w:color="000000" w:sz="4"/>
                    <w:right w:val="single" w:color="000000" w:sz="4"/>
                  </w:tcBorders>
                  <w:shd w:fill="FCE4D6"/>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年</w:t>
                  </w:r>
                </w:p>
              </w:tc>
              <w:tc>
                <w:tcPr>
                  <w:tcW w:type="dxa" w:w="147"/>
                  <w:tcBorders>
                    <w:top w:val="none" w:color="000000" w:sz="4"/>
                    <w:left w:val="none" w:color="000000" w:sz="4"/>
                    <w:bottom w:val="single" w:color="000000" w:sz="4"/>
                    <w:right w:val="single" w:color="000000" w:sz="4"/>
                  </w:tcBorders>
                  <w:shd w:fill="FCE4D6"/>
                  <w:tcMar>
                    <w:top w:type="dxa" w:w="0"/>
                    <w:left w:type="dxa" w:w="105"/>
                    <w:bottom w:type="dxa" w:w="0"/>
                    <w:right w:type="dxa" w:w="105"/>
                  </w:tcMar>
                </w:tcPr>
                <w:p>
                  <w:pPr>
                    <w:pStyle w:val="null3"/>
                    <w:jc w:val="left"/>
                  </w:pPr>
                  <w:r>
                    <w:rPr>
                      <w:rFonts w:ascii="仿宋_GB2312" w:hAnsi="仿宋_GB2312" w:cs="仿宋_GB2312" w:eastAsia="仿宋_GB2312"/>
                      <w:sz w:val="24"/>
                      <w:color w:val="000000"/>
                    </w:rPr>
                    <w:t>4</w:t>
                  </w:r>
                </w:p>
              </w:tc>
            </w:tr>
            <w:tr>
              <w:tc>
                <w:tcPr>
                  <w:tcW w:type="dxa" w:w="197"/>
                  <w:tcBorders>
                    <w:top w:val="none" w:color="000000" w:sz="4"/>
                    <w:left w:val="single" w:color="000000" w:sz="4"/>
                    <w:bottom w:val="single" w:color="000000" w:sz="4"/>
                    <w:right w:val="single" w:color="000000" w:sz="4"/>
                  </w:tcBorders>
                  <w:shd w:fill="FCE4D6"/>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15</w:t>
                  </w:r>
                </w:p>
              </w:tc>
              <w:tc>
                <w:tcPr>
                  <w:tcW w:type="dxa" w:w="223"/>
                  <w:tcBorders>
                    <w:top w:val="none" w:color="000000" w:sz="4"/>
                    <w:left w:val="none" w:color="000000" w:sz="4"/>
                    <w:bottom w:val="single" w:color="000000" w:sz="4"/>
                    <w:right w:val="single" w:color="000000" w:sz="4"/>
                  </w:tcBorders>
                  <w:shd w:fill="FCE4D6"/>
                  <w:tcMar>
                    <w:top w:type="dxa" w:w="0"/>
                    <w:left w:type="dxa" w:w="105"/>
                    <w:bottom w:type="dxa" w:w="0"/>
                    <w:right w:type="dxa" w:w="105"/>
                  </w:tcMar>
                </w:tcPr>
                <w:p>
                  <w:pPr>
                    <w:pStyle w:val="null3"/>
                    <w:jc w:val="left"/>
                  </w:pPr>
                  <w:r>
                    <w:rPr>
                      <w:rFonts w:ascii="仿宋_GB2312" w:hAnsi="仿宋_GB2312" w:cs="仿宋_GB2312" w:eastAsia="仿宋_GB2312"/>
                      <w:sz w:val="24"/>
                      <w:color w:val="000000"/>
                    </w:rPr>
                    <w:t>等保密码测评</w:t>
                  </w:r>
                </w:p>
              </w:tc>
              <w:tc>
                <w:tcPr>
                  <w:tcW w:type="dxa" w:w="1845"/>
                  <w:tcBorders>
                    <w:top w:val="none" w:color="000000" w:sz="4"/>
                    <w:left w:val="none" w:color="000000" w:sz="4"/>
                    <w:bottom w:val="single" w:color="000000" w:sz="4"/>
                    <w:right w:val="single" w:color="000000" w:sz="4"/>
                  </w:tcBorders>
                  <w:shd w:fill="FCE4D6"/>
                  <w:tcMar>
                    <w:top w:type="dxa" w:w="0"/>
                    <w:left w:type="dxa" w:w="105"/>
                    <w:bottom w:type="dxa" w:w="0"/>
                    <w:right w:type="dxa" w:w="105"/>
                  </w:tcMar>
                </w:tcPr>
                <w:p>
                  <w:pPr>
                    <w:pStyle w:val="null3"/>
                    <w:jc w:val="left"/>
                  </w:pPr>
                  <w:r>
                    <w:rPr>
                      <w:rFonts w:ascii="仿宋_GB2312" w:hAnsi="仿宋_GB2312" w:cs="仿宋_GB2312" w:eastAsia="仿宋_GB2312"/>
                      <w:sz w:val="24"/>
                      <w:color w:val="000000"/>
                    </w:rPr>
                    <w:t>提供本项目系统等保测评和密码评测服务</w:t>
                  </w:r>
                </w:p>
              </w:tc>
              <w:tc>
                <w:tcPr>
                  <w:tcW w:type="dxa" w:w="134"/>
                  <w:tcBorders>
                    <w:top w:val="none" w:color="000000" w:sz="4"/>
                    <w:left w:val="none" w:color="000000" w:sz="4"/>
                    <w:bottom w:val="single" w:color="000000" w:sz="4"/>
                    <w:right w:val="single" w:color="000000" w:sz="4"/>
                  </w:tcBorders>
                  <w:shd w:fill="FCE4D6"/>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年</w:t>
                  </w:r>
                </w:p>
              </w:tc>
              <w:tc>
                <w:tcPr>
                  <w:tcW w:type="dxa" w:w="147"/>
                  <w:tcBorders>
                    <w:top w:val="none" w:color="000000" w:sz="4"/>
                    <w:left w:val="none" w:color="000000" w:sz="4"/>
                    <w:bottom w:val="single" w:color="000000" w:sz="4"/>
                    <w:right w:val="single" w:color="000000" w:sz="4"/>
                  </w:tcBorders>
                  <w:shd w:fill="FCE4D6"/>
                  <w:tcMar>
                    <w:top w:type="dxa" w:w="0"/>
                    <w:left w:type="dxa" w:w="105"/>
                    <w:bottom w:type="dxa" w:w="0"/>
                    <w:right w:type="dxa" w:w="105"/>
                  </w:tcMar>
                </w:tcPr>
                <w:p>
                  <w:pPr>
                    <w:pStyle w:val="null3"/>
                    <w:jc w:val="left"/>
                  </w:pPr>
                  <w:r>
                    <w:rPr>
                      <w:rFonts w:ascii="仿宋_GB2312" w:hAnsi="仿宋_GB2312" w:cs="仿宋_GB2312" w:eastAsia="仿宋_GB2312"/>
                      <w:sz w:val="24"/>
                      <w:color w:val="000000"/>
                    </w:rPr>
                    <w:t>4</w:t>
                  </w:r>
                </w:p>
              </w:tc>
            </w:tr>
          </w:tbl>
          <w:p>
            <w:pPr>
              <w:pStyle w:val="null3"/>
              <w:spacing w:before="255" w:after="255"/>
              <w:jc w:val="both"/>
              <w:outlineLvl w:val="2"/>
            </w:pPr>
            <w:r>
              <w:rPr>
                <w:rFonts w:ascii="仿宋_GB2312" w:hAnsi="仿宋_GB2312" w:cs="仿宋_GB2312" w:eastAsia="仿宋_GB2312"/>
                <w:sz w:val="24"/>
                <w:b/>
              </w:rPr>
              <w:t>超融合平台及存储系统建设设备清单及技术要求。</w:t>
            </w:r>
          </w:p>
          <w:tbl>
            <w:tblPr>
              <w:tblBorders>
                <w:top w:val="none" w:color="000000" w:sz="4"/>
                <w:left w:val="none" w:color="000000" w:sz="4"/>
                <w:bottom w:val="none" w:color="000000" w:sz="4"/>
                <w:right w:val="none" w:color="000000" w:sz="4"/>
                <w:insideH w:val="none"/>
                <w:insideV w:val="none"/>
              </w:tblBorders>
            </w:tblPr>
            <w:tblGrid>
              <w:gridCol w:w="173"/>
              <w:gridCol w:w="351"/>
              <w:gridCol w:w="1750"/>
              <w:gridCol w:w="118"/>
              <w:gridCol w:w="94"/>
              <w:gridCol w:w="63"/>
              <w:gridCol w:w="0"/>
            </w:tblGrid>
            <w:tr>
              <w:tc>
                <w:tcPr>
                  <w:tcW w:type="dxa" w:w="173"/>
                  <w:tcBorders>
                    <w:top w:val="single" w:color="000000" w:sz="4"/>
                    <w:left w:val="single" w:color="000000" w:sz="4"/>
                    <w:bottom w:val="single" w:color="000000" w:sz="4"/>
                    <w:right w:val="single" w:color="000000" w:sz="4"/>
                  </w:tcBorders>
                  <w:shd w:fill="DDEBF7"/>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351"/>
                  <w:tcBorders>
                    <w:top w:val="single" w:color="000000" w:sz="4"/>
                    <w:left w:val="none" w:color="000000" w:sz="4"/>
                    <w:bottom w:val="single" w:color="000000" w:sz="4"/>
                    <w:right w:val="single" w:color="000000" w:sz="4"/>
                  </w:tcBorders>
                  <w:shd w:fill="DDEBF7"/>
                  <w:tcMar>
                    <w:top w:type="dxa" w:w="0"/>
                    <w:left w:type="dxa" w:w="105"/>
                    <w:bottom w:type="dxa" w:w="0"/>
                    <w:right w:type="dxa" w:w="105"/>
                  </w:tcMar>
                </w:tcPr>
                <w:p>
                  <w:pPr>
                    <w:pStyle w:val="null3"/>
                    <w:jc w:val="left"/>
                  </w:pPr>
                  <w:r>
                    <w:rPr>
                      <w:rFonts w:ascii="仿宋_GB2312" w:hAnsi="仿宋_GB2312" w:cs="仿宋_GB2312" w:eastAsia="仿宋_GB2312"/>
                      <w:sz w:val="24"/>
                      <w:color w:val="333333"/>
                    </w:rPr>
                    <w:t>原有超融合平台维保服务</w:t>
                  </w:r>
                </w:p>
              </w:tc>
              <w:tc>
                <w:tcPr>
                  <w:tcW w:type="dxa" w:w="1750"/>
                  <w:tcBorders>
                    <w:top w:val="single" w:color="000000" w:sz="4"/>
                    <w:left w:val="none" w:color="000000" w:sz="4"/>
                    <w:bottom w:val="single" w:color="000000" w:sz="4"/>
                    <w:right w:val="single" w:color="000000" w:sz="4"/>
                  </w:tcBorders>
                  <w:shd w:fill="DDEBF7"/>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型号：</w:t>
                  </w:r>
                  <w:r>
                    <w:rPr>
                      <w:rFonts w:ascii="仿宋_GB2312" w:hAnsi="仿宋_GB2312" w:cs="仿宋_GB2312" w:eastAsia="仿宋_GB2312"/>
                      <w:sz w:val="24"/>
                    </w:rPr>
                    <w:t>aServer-R-G650</w:t>
                  </w:r>
                  <w:r>
                    <w:rPr>
                      <w:rFonts w:ascii="仿宋_GB2312" w:hAnsi="仿宋_GB2312" w:cs="仿宋_GB2312" w:eastAsia="仿宋_GB2312"/>
                      <w:sz w:val="24"/>
                    </w:rPr>
                    <w:t>；</w:t>
                  </w:r>
                  <w:r>
                    <w:br/>
                  </w:r>
                  <w:r>
                    <w:rPr>
                      <w:rFonts w:ascii="仿宋_GB2312" w:hAnsi="仿宋_GB2312" w:cs="仿宋_GB2312" w:eastAsia="仿宋_GB2312"/>
                      <w:sz w:val="24"/>
                      <w:color w:val="000000"/>
                    </w:rPr>
                    <w:t>资产ID：20220511A0000746-F6N3CCI066、</w:t>
                  </w:r>
                  <w:r>
                    <w:br/>
                  </w:r>
                  <w:r>
                    <w:rPr>
                      <w:rFonts w:ascii="仿宋_GB2312" w:hAnsi="仿宋_GB2312" w:cs="仿宋_GB2312" w:eastAsia="仿宋_GB2312"/>
                      <w:sz w:val="24"/>
                      <w:color w:val="000000"/>
                    </w:rPr>
                    <w:t xml:space="preserve"> 20220511A0000746-F6N3CCI065、</w:t>
                  </w:r>
                  <w:r>
                    <w:br/>
                  </w:r>
                  <w:r>
                    <w:rPr>
                      <w:rFonts w:ascii="仿宋_GB2312" w:hAnsi="仿宋_GB2312" w:cs="仿宋_GB2312" w:eastAsia="仿宋_GB2312"/>
                      <w:sz w:val="24"/>
                      <w:color w:val="000000"/>
                    </w:rPr>
                    <w:t xml:space="preserve"> 20220511A0000746-F6N3CCI068；</w:t>
                  </w:r>
                  <w:r>
                    <w:br/>
                  </w:r>
                  <w:r>
                    <w:rPr>
                      <w:rFonts w:ascii="仿宋_GB2312" w:hAnsi="仿宋_GB2312" w:cs="仿宋_GB2312" w:eastAsia="仿宋_GB2312"/>
                      <w:sz w:val="24"/>
                      <w:color w:val="000000"/>
                    </w:rPr>
                    <w:t xml:space="preserve"> 第一年服务，服务至2027年4月26日</w:t>
                  </w:r>
                  <w:r>
                    <w:br/>
                  </w:r>
                  <w:r>
                    <w:rPr>
                      <w:rFonts w:ascii="仿宋_GB2312" w:hAnsi="仿宋_GB2312" w:cs="仿宋_GB2312" w:eastAsia="仿宋_GB2312"/>
                      <w:sz w:val="24"/>
                      <w:color w:val="000000"/>
                    </w:rPr>
                    <w:t xml:space="preserve"> 续保期内延续原有软硬件服务标准，包括功能更新、安全补丁、性能优化补丁及兼容性适配更新，确保用户持续获取当前产品线生命周期内的所有软件版本。</w:t>
                  </w:r>
                </w:p>
              </w:tc>
              <w:tc>
                <w:tcPr>
                  <w:tcW w:type="dxa" w:w="118"/>
                  <w:tcBorders>
                    <w:top w:val="single" w:color="000000" w:sz="4"/>
                    <w:left w:val="none" w:color="000000" w:sz="4"/>
                    <w:bottom w:val="single" w:color="000000" w:sz="4"/>
                    <w:right w:val="single" w:color="000000" w:sz="4"/>
                  </w:tcBorders>
                  <w:shd w:fill="DDEBF7"/>
                  <w:tcMar>
                    <w:top w:type="dxa" w:w="0"/>
                    <w:left w:type="dxa" w:w="105"/>
                    <w:bottom w:type="dxa" w:w="0"/>
                    <w:right w:type="dxa" w:w="105"/>
                  </w:tcMar>
                </w:tcPr>
                <w:p>
                  <w:pPr>
                    <w:pStyle w:val="null3"/>
                    <w:jc w:val="center"/>
                  </w:pPr>
                  <w:r>
                    <w:rPr>
                      <w:rFonts w:ascii="仿宋_GB2312" w:hAnsi="仿宋_GB2312" w:cs="仿宋_GB2312" w:eastAsia="仿宋_GB2312"/>
                      <w:sz w:val="24"/>
                      <w:color w:val="333333"/>
                    </w:rPr>
                    <w:t>套</w:t>
                  </w:r>
                </w:p>
              </w:tc>
              <w:tc>
                <w:tcPr>
                  <w:tcW w:type="dxa" w:w="94"/>
                  <w:tcBorders>
                    <w:top w:val="single" w:color="000000" w:sz="4"/>
                    <w:left w:val="none" w:color="000000" w:sz="4"/>
                    <w:bottom w:val="single" w:color="000000" w:sz="4"/>
                    <w:right w:val="single" w:color="000000" w:sz="4"/>
                  </w:tcBorders>
                  <w:shd w:fill="DDEBF7"/>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w:t>
                  </w:r>
                </w:p>
              </w:tc>
              <w:tc>
                <w:tcPr>
                  <w:tcW w:type="dxa" w:w="63"/>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173"/>
                  <w:tcBorders>
                    <w:top w:val="none" w:color="000000" w:sz="4"/>
                    <w:left w:val="single" w:color="000000" w:sz="4"/>
                    <w:bottom w:val="single" w:color="000000" w:sz="4"/>
                    <w:right w:val="single" w:color="000000" w:sz="4"/>
                  </w:tcBorders>
                  <w:shd w:fill="DDEBF7"/>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c>
                <w:tcPr>
                  <w:tcW w:type="dxa" w:w="351"/>
                  <w:tcBorders>
                    <w:top w:val="none" w:color="000000" w:sz="4"/>
                    <w:left w:val="none" w:color="000000" w:sz="4"/>
                    <w:bottom w:val="single" w:color="000000" w:sz="4"/>
                    <w:right w:val="single" w:color="000000" w:sz="4"/>
                  </w:tcBorders>
                  <w:shd w:fill="DDEBF7"/>
                  <w:tcMar>
                    <w:top w:type="dxa" w:w="0"/>
                    <w:left w:type="dxa" w:w="105"/>
                    <w:bottom w:type="dxa" w:w="0"/>
                    <w:right w:type="dxa" w:w="105"/>
                  </w:tcMar>
                </w:tcPr>
                <w:p>
                  <w:pPr>
                    <w:pStyle w:val="null3"/>
                    <w:jc w:val="left"/>
                  </w:pPr>
                  <w:r>
                    <w:rPr>
                      <w:rFonts w:ascii="仿宋_GB2312" w:hAnsi="仿宋_GB2312" w:cs="仿宋_GB2312" w:eastAsia="仿宋_GB2312"/>
                      <w:sz w:val="24"/>
                      <w:color w:val="333333"/>
                    </w:rPr>
                    <w:t>原有超融合平台维保服务</w:t>
                  </w:r>
                </w:p>
              </w:tc>
              <w:tc>
                <w:tcPr>
                  <w:tcW w:type="dxa" w:w="1750"/>
                  <w:tcBorders>
                    <w:top w:val="none" w:color="000000" w:sz="4"/>
                    <w:left w:val="none" w:color="000000" w:sz="4"/>
                    <w:bottom w:val="single" w:color="000000" w:sz="4"/>
                    <w:right w:val="single" w:color="000000" w:sz="4"/>
                  </w:tcBorders>
                  <w:shd w:fill="DDEBF7"/>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型</w:t>
                  </w:r>
                  <w:r>
                    <w:rPr>
                      <w:rFonts w:ascii="仿宋_GB2312" w:hAnsi="仿宋_GB2312" w:cs="仿宋_GB2312" w:eastAsia="仿宋_GB2312"/>
                      <w:sz w:val="24"/>
                    </w:rPr>
                    <w:t>号：aServer-R-G650、aServer-W-G2400；</w:t>
                  </w:r>
                  <w:r>
                    <w:br/>
                  </w:r>
                  <w:r>
                    <w:rPr>
                      <w:rFonts w:ascii="仿宋_GB2312" w:hAnsi="仿宋_GB2312" w:cs="仿宋_GB2312" w:eastAsia="仿宋_GB2312"/>
                      <w:sz w:val="24"/>
                      <w:color w:val="000000"/>
                    </w:rPr>
                    <w:t>资产ID：F6N3CCI066</w:t>
                  </w:r>
                  <w:r>
                    <w:br/>
                  </w:r>
                  <w:r>
                    <w:rPr>
                      <w:rFonts w:ascii="仿宋_GB2312" w:hAnsi="仿宋_GB2312" w:cs="仿宋_GB2312" w:eastAsia="仿宋_GB2312"/>
                      <w:sz w:val="24"/>
                      <w:color w:val="000000"/>
                    </w:rPr>
                    <w:t xml:space="preserve"> 20220511A0000746-F6N3CCI065、</w:t>
                  </w:r>
                  <w:r>
                    <w:br/>
                  </w:r>
                  <w:r>
                    <w:rPr>
                      <w:rFonts w:ascii="仿宋_GB2312" w:hAnsi="仿宋_GB2312" w:cs="仿宋_GB2312" w:eastAsia="仿宋_GB2312"/>
                      <w:sz w:val="24"/>
                      <w:color w:val="000000"/>
                    </w:rPr>
                    <w:t xml:space="preserve"> 20220511A0000746-F6N3CCI068、20220511A0000746-FBN3EAF021；</w:t>
                  </w:r>
                  <w:r>
                    <w:br/>
                  </w:r>
                  <w:r>
                    <w:rPr>
                      <w:rFonts w:ascii="仿宋_GB2312" w:hAnsi="仿宋_GB2312" w:cs="仿宋_GB2312" w:eastAsia="仿宋_GB2312"/>
                      <w:sz w:val="24"/>
                      <w:color w:val="000000"/>
                    </w:rPr>
                    <w:t xml:space="preserve"> 后两年服务，服务至2029年4月26日。</w:t>
                  </w:r>
                  <w:r>
                    <w:br/>
                  </w:r>
                  <w:r>
                    <w:rPr>
                      <w:rFonts w:ascii="仿宋_GB2312" w:hAnsi="仿宋_GB2312" w:cs="仿宋_GB2312" w:eastAsia="仿宋_GB2312"/>
                      <w:sz w:val="24"/>
                      <w:color w:val="000000"/>
                    </w:rPr>
                    <w:t xml:space="preserve"> 续保期内延续原有软硬件服务标准，包括功能更新、安全补丁、性能优化补丁及兼容性适配更新，确保用户持续获取当前产品线生命周期内的所有软件版本。</w:t>
                  </w:r>
                </w:p>
              </w:tc>
              <w:tc>
                <w:tcPr>
                  <w:tcW w:type="dxa" w:w="118"/>
                  <w:tcBorders>
                    <w:top w:val="none" w:color="000000" w:sz="4"/>
                    <w:left w:val="none" w:color="000000" w:sz="4"/>
                    <w:bottom w:val="single" w:color="000000" w:sz="4"/>
                    <w:right w:val="single" w:color="000000" w:sz="4"/>
                  </w:tcBorders>
                  <w:shd w:fill="DDEBF7"/>
                  <w:tcMar>
                    <w:top w:type="dxa" w:w="0"/>
                    <w:left w:type="dxa" w:w="105"/>
                    <w:bottom w:type="dxa" w:w="0"/>
                    <w:right w:type="dxa" w:w="105"/>
                  </w:tcMar>
                </w:tcPr>
                <w:p>
                  <w:pPr>
                    <w:pStyle w:val="null3"/>
                    <w:jc w:val="center"/>
                  </w:pPr>
                  <w:r>
                    <w:rPr>
                      <w:rFonts w:ascii="仿宋_GB2312" w:hAnsi="仿宋_GB2312" w:cs="仿宋_GB2312" w:eastAsia="仿宋_GB2312"/>
                      <w:sz w:val="24"/>
                      <w:color w:val="333333"/>
                    </w:rPr>
                    <w:t>套</w:t>
                  </w:r>
                </w:p>
              </w:tc>
              <w:tc>
                <w:tcPr>
                  <w:tcW w:type="dxa" w:w="94"/>
                  <w:tcBorders>
                    <w:top w:val="none" w:color="000000" w:sz="4"/>
                    <w:left w:val="none" w:color="000000" w:sz="4"/>
                    <w:bottom w:val="single" w:color="000000" w:sz="4"/>
                    <w:right w:val="single" w:color="000000" w:sz="4"/>
                  </w:tcBorders>
                  <w:shd w:fill="DDEBF7"/>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w:t>
                  </w:r>
                </w:p>
              </w:tc>
              <w:tc>
                <w:tcPr>
                  <w:tcW w:type="dxa" w:w="63"/>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173"/>
                  <w:vMerge w:val="restart"/>
                  <w:tcBorders>
                    <w:top w:val="none" w:color="000000" w:sz="4"/>
                    <w:left w:val="single" w:color="000000" w:sz="4"/>
                    <w:bottom w:val="single" w:color="000000" w:sz="4"/>
                    <w:right w:val="single" w:color="000000" w:sz="4"/>
                  </w:tcBorders>
                  <w:shd w:fill="DDEBF7"/>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w:t>
                  </w:r>
                </w:p>
              </w:tc>
              <w:tc>
                <w:tcPr>
                  <w:tcW w:type="dxa" w:w="351"/>
                  <w:vMerge w:val="restart"/>
                  <w:tcBorders>
                    <w:top w:val="none" w:color="000000" w:sz="4"/>
                    <w:left w:val="none" w:color="000000" w:sz="4"/>
                    <w:bottom w:val="single" w:color="000000" w:sz="4"/>
                    <w:right w:val="single" w:color="000000" w:sz="4"/>
                  </w:tcBorders>
                  <w:shd w:fill="DDEBF7"/>
                  <w:tcMar>
                    <w:top w:type="dxa" w:w="0"/>
                    <w:left w:type="dxa" w:w="105"/>
                    <w:bottom w:type="dxa" w:w="0"/>
                    <w:right w:type="dxa" w:w="105"/>
                  </w:tcMar>
                </w:tcPr>
                <w:p>
                  <w:pPr>
                    <w:pStyle w:val="null3"/>
                    <w:jc w:val="center"/>
                  </w:pPr>
                  <w:r>
                    <w:rPr>
                      <w:rFonts w:ascii="仿宋_GB2312" w:hAnsi="仿宋_GB2312" w:cs="仿宋_GB2312" w:eastAsia="仿宋_GB2312"/>
                      <w:sz w:val="24"/>
                      <w:color w:val="333333"/>
                    </w:rPr>
                    <w:t>超融合平台</w:t>
                  </w:r>
                </w:p>
              </w:tc>
              <w:tc>
                <w:tcPr>
                  <w:tcW w:type="dxa" w:w="1750"/>
                  <w:vMerge w:val="restart"/>
                  <w:tcBorders>
                    <w:top w:val="none" w:color="000000" w:sz="4"/>
                    <w:left w:val="none" w:color="000000" w:sz="4"/>
                    <w:bottom w:val="single" w:color="000000" w:sz="4"/>
                    <w:right w:val="single" w:color="000000" w:sz="4"/>
                  </w:tcBorders>
                  <w:shd w:fill="DDEBF7"/>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超融合平台：</w:t>
                  </w:r>
                  <w:r>
                    <w:br/>
                  </w:r>
                  <w:r>
                    <w:rPr>
                      <w:rFonts w:ascii="仿宋_GB2312" w:hAnsi="仿宋_GB2312" w:cs="仿宋_GB2312" w:eastAsia="仿宋_GB2312"/>
                      <w:sz w:val="24"/>
                      <w:b/>
                      <w:color w:val="000000"/>
                    </w:rPr>
                    <w:t>硬件参数</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 xml:space="preserve"> CPU计算节点：3台，每台配置要求：</w:t>
                  </w:r>
                  <w:r>
                    <w:br/>
                  </w:r>
                  <w:r>
                    <w:rPr>
                      <w:rFonts w:ascii="仿宋_GB2312" w:hAnsi="仿宋_GB2312" w:cs="仿宋_GB2312" w:eastAsia="仿宋_GB2312"/>
                      <w:sz w:val="24"/>
                      <w:color w:val="000000"/>
                    </w:rPr>
                    <w:t xml:space="preserve"> 1. 标准2U机架式服务器。</w:t>
                  </w:r>
                  <w:r>
                    <w:br/>
                  </w:r>
                  <w:r>
                    <w:rPr>
                      <w:rFonts w:ascii="仿宋_GB2312" w:hAnsi="仿宋_GB2312" w:cs="仿宋_GB2312" w:eastAsia="仿宋_GB2312"/>
                      <w:sz w:val="24"/>
                      <w:color w:val="000000"/>
                    </w:rPr>
                    <w:t xml:space="preserve"> 2. CPU：2 颗国产化C86架构CPU，单颗处理器≥48核，主频≥2.6GHz。</w:t>
                  </w:r>
                  <w:r>
                    <w:br/>
                  </w:r>
                  <w:r>
                    <w:rPr>
                      <w:rFonts w:ascii="仿宋_GB2312" w:hAnsi="仿宋_GB2312" w:cs="仿宋_GB2312" w:eastAsia="仿宋_GB2312"/>
                      <w:sz w:val="24"/>
                      <w:color w:val="000000"/>
                    </w:rPr>
                    <w:t xml:space="preserve"> 3. 内存：≥8*64G DDR5内存。</w:t>
                  </w:r>
                  <w:r>
                    <w:br/>
                  </w:r>
                  <w:r>
                    <w:rPr>
                      <w:rFonts w:ascii="仿宋_GB2312" w:hAnsi="仿宋_GB2312" w:cs="仿宋_GB2312" w:eastAsia="仿宋_GB2312"/>
                      <w:sz w:val="24"/>
                      <w:color w:val="000000"/>
                    </w:rPr>
                    <w:t xml:space="preserve"> 4. 硬盘：≥2块480 GB SSD 固态硬盘。≥2块1.6T U.2 NVME固态硬盘，≥4 块 10TB SATA HDD 机械硬盘。</w:t>
                  </w:r>
                  <w:r>
                    <w:br/>
                  </w:r>
                  <w:r>
                    <w:rPr>
                      <w:rFonts w:ascii="仿宋_GB2312" w:hAnsi="仿宋_GB2312" w:cs="仿宋_GB2312" w:eastAsia="仿宋_GB2312"/>
                      <w:sz w:val="24"/>
                      <w:color w:val="000000"/>
                    </w:rPr>
                    <w:t xml:space="preserve"> 5. 网卡：≥4个千兆电口；≥6个万兆光口（含万兆多模光纤模块）。</w:t>
                  </w:r>
                  <w:r>
                    <w:br/>
                  </w:r>
                  <w:r>
                    <w:rPr>
                      <w:rFonts w:ascii="仿宋_GB2312" w:hAnsi="仿宋_GB2312" w:cs="仿宋_GB2312" w:eastAsia="仿宋_GB2312"/>
                      <w:sz w:val="24"/>
                      <w:color w:val="000000"/>
                    </w:rPr>
                    <w:t xml:space="preserve"> 6. 电源：冗余电源。</w:t>
                  </w:r>
                  <w:r>
                    <w:br/>
                  </w:r>
                  <w:r>
                    <w:rPr>
                      <w:rFonts w:ascii="仿宋_GB2312" w:hAnsi="仿宋_GB2312" w:cs="仿宋_GB2312" w:eastAsia="仿宋_GB2312"/>
                      <w:sz w:val="24"/>
                      <w:color w:val="000000"/>
                    </w:rPr>
                    <w:t xml:space="preserve"> GPU计算节点：1台，配置要求：</w:t>
                  </w:r>
                  <w:r>
                    <w:br/>
                  </w:r>
                  <w:r>
                    <w:rPr>
                      <w:rFonts w:ascii="仿宋_GB2312" w:hAnsi="仿宋_GB2312" w:cs="仿宋_GB2312" w:eastAsia="仿宋_GB2312"/>
                      <w:sz w:val="24"/>
                      <w:color w:val="000000"/>
                    </w:rPr>
                    <w:t xml:space="preserve"> 1. 标准2U机架式服务器。</w:t>
                  </w:r>
                  <w:r>
                    <w:br/>
                  </w:r>
                  <w:r>
                    <w:rPr>
                      <w:rFonts w:ascii="仿宋_GB2312" w:hAnsi="仿宋_GB2312" w:cs="仿宋_GB2312" w:eastAsia="仿宋_GB2312"/>
                      <w:sz w:val="24"/>
                      <w:color w:val="000000"/>
                    </w:rPr>
                    <w:t xml:space="preserve"> 2. 单台CPU：2 颗国产化C86架构CPU，单颗处理器≥48核，主频≥2.6GHz。</w:t>
                  </w:r>
                  <w:r>
                    <w:br/>
                  </w:r>
                  <w:r>
                    <w:rPr>
                      <w:rFonts w:ascii="仿宋_GB2312" w:hAnsi="仿宋_GB2312" w:cs="仿宋_GB2312" w:eastAsia="仿宋_GB2312"/>
                      <w:sz w:val="24"/>
                      <w:color w:val="000000"/>
                    </w:rPr>
                    <w:t xml:space="preserve"> 3. 内存：≥8*64G DDR5内存。</w:t>
                  </w:r>
                  <w:r>
                    <w:br/>
                  </w:r>
                  <w:r>
                    <w:rPr>
                      <w:rFonts w:ascii="仿宋_GB2312" w:hAnsi="仿宋_GB2312" w:cs="仿宋_GB2312" w:eastAsia="仿宋_GB2312"/>
                      <w:sz w:val="24"/>
                      <w:color w:val="000000"/>
                    </w:rPr>
                    <w:t xml:space="preserve"> 4. 硬盘：≥2块480 GB SSD 固态硬盘。≥2块1.6T U.2 NVME固态硬盘，≥4 块 10TB SATA HDD 机械硬盘。</w:t>
                  </w:r>
                  <w:r>
                    <w:br/>
                  </w:r>
                  <w:r>
                    <w:rPr>
                      <w:rFonts w:ascii="仿宋_GB2312" w:hAnsi="仿宋_GB2312" w:cs="仿宋_GB2312" w:eastAsia="仿宋_GB2312"/>
                      <w:sz w:val="24"/>
                      <w:color w:val="000000"/>
                    </w:rPr>
                    <w:t xml:space="preserve"> 5. 显卡：≥1块L20显卡</w:t>
                  </w:r>
                  <w:r>
                    <w:br/>
                  </w:r>
                  <w:r>
                    <w:rPr>
                      <w:rFonts w:ascii="仿宋_GB2312" w:hAnsi="仿宋_GB2312" w:cs="仿宋_GB2312" w:eastAsia="仿宋_GB2312"/>
                      <w:sz w:val="24"/>
                      <w:color w:val="000000"/>
                    </w:rPr>
                    <w:t xml:space="preserve"> 6. 网卡：≥4个千兆电口；≥6个万兆光口（含万兆多模光纤模块）。</w:t>
                  </w:r>
                  <w:r>
                    <w:br/>
                  </w:r>
                  <w:r>
                    <w:rPr>
                      <w:rFonts w:ascii="仿宋_GB2312" w:hAnsi="仿宋_GB2312" w:cs="仿宋_GB2312" w:eastAsia="仿宋_GB2312"/>
                      <w:sz w:val="24"/>
                      <w:color w:val="000000"/>
                    </w:rPr>
                    <w:t xml:space="preserve"> 7. 电源：冗余电源。</w:t>
                  </w:r>
                  <w:r>
                    <w:br/>
                  </w:r>
                  <w:r>
                    <w:rPr>
                      <w:rFonts w:ascii="仿宋_GB2312" w:hAnsi="仿宋_GB2312" w:cs="仿宋_GB2312" w:eastAsia="仿宋_GB2312"/>
                      <w:sz w:val="24"/>
                      <w:b/>
                      <w:color w:val="000000"/>
                    </w:rPr>
                    <w:t>功能要求：</w:t>
                  </w:r>
                  <w:r>
                    <w:br/>
                  </w:r>
                  <w:r>
                    <w:rPr>
                      <w:rFonts w:ascii="仿宋_GB2312" w:hAnsi="仿宋_GB2312" w:cs="仿宋_GB2312" w:eastAsia="仿宋_GB2312"/>
                      <w:sz w:val="24"/>
                      <w:b/>
                    </w:rPr>
                    <w:t>云计算管理平台要求：</w:t>
                  </w:r>
                  <w:r>
                    <w:br/>
                  </w:r>
                  <w:r>
                    <w:rPr>
                      <w:rFonts w:ascii="仿宋_GB2312" w:hAnsi="仿宋_GB2312" w:cs="仿宋_GB2312" w:eastAsia="仿宋_GB2312"/>
                      <w:sz w:val="24"/>
                      <w:color w:val="000000"/>
                    </w:rPr>
                    <w:t xml:space="preserve"> 1. </w:t>
                  </w:r>
                  <w:r>
                    <w:rPr>
                      <w:rFonts w:ascii="仿宋_GB2312" w:hAnsi="仿宋_GB2312" w:cs="仿宋_GB2312" w:eastAsia="仿宋_GB2312"/>
                      <w:sz w:val="24"/>
                      <w:color w:val="000000"/>
                    </w:rPr>
                    <w:t>包含云管永久软件授权1套（无软件使用有效期限制），提供≥8颗CPU使用授权，不少于3年软件升级服务（提供厂商授权及售后服务承诺函）。</w:t>
                  </w:r>
                  <w:r>
                    <w:br/>
                  </w:r>
                  <w:r>
                    <w:rPr>
                      <w:rFonts w:ascii="仿宋_GB2312" w:hAnsi="仿宋_GB2312" w:cs="仿宋_GB2312" w:eastAsia="仿宋_GB2312"/>
                      <w:sz w:val="24"/>
                      <w:color w:val="000000"/>
                    </w:rPr>
                    <w:t xml:space="preserve"> 2. ▲为保障平台的扩展性和兼容性，要求超融合云计算管理平台、计算虚拟化、存储虚拟化、网络虚拟化、安全虚拟化和桌面虚拟化均为同一厂商品牌提供且自主研发。（提供软件著作权并加盖厂商公章）</w:t>
                  </w:r>
                  <w:r>
                    <w:br/>
                  </w:r>
                  <w:r>
                    <w:rPr>
                      <w:rFonts w:ascii="仿宋_GB2312" w:hAnsi="仿宋_GB2312" w:cs="仿宋_GB2312" w:eastAsia="仿宋_GB2312"/>
                      <w:sz w:val="24"/>
                      <w:color w:val="000000"/>
                    </w:rPr>
                    <w:t xml:space="preserve"> 3.</w:t>
                  </w:r>
                  <w:r>
                    <w:rPr>
                      <w:rFonts w:ascii="仿宋_GB2312" w:hAnsi="仿宋_GB2312" w:cs="仿宋_GB2312" w:eastAsia="仿宋_GB2312"/>
                      <w:sz w:val="24"/>
                    </w:rPr>
                    <w:t>▲此次建设的信创超融合云计算管理平台需支持与单位现有超融合管理平台的管理平面互通对接，实现信创集群与非信创集群的统一纳管，通过统一超融合云管理控制台对两套集群的计算、存储、网络资源进行集中监控、统一调度、统一日志和一体化运维，消除多平台分散管理的运维壁垒。投标人需提供现有超融合云管理平台与本次新建信创集群之间的兼容性说明文件，并加盖原厂商公章。</w:t>
                  </w:r>
                  <w:r>
                    <w:br/>
                  </w:r>
                  <w:r>
                    <w:rPr>
                      <w:rFonts w:ascii="仿宋_GB2312" w:hAnsi="仿宋_GB2312" w:cs="仿宋_GB2312" w:eastAsia="仿宋_GB2312"/>
                      <w:sz w:val="24"/>
                      <w:color w:val="000000"/>
                    </w:rPr>
                    <w:t xml:space="preserve"> 4. </w:t>
                  </w:r>
                  <w:r>
                    <w:rPr>
                      <w:rFonts w:ascii="仿宋_GB2312" w:hAnsi="仿宋_GB2312" w:cs="仿宋_GB2312" w:eastAsia="仿宋_GB2312"/>
                      <w:sz w:val="24"/>
                      <w:color w:val="000000"/>
                    </w:rPr>
                    <w:t>支持在通用的X86、ARM架构服务器上安装超融合软件，支持飞腾、鲲鹏等业界主流的ARM平台，并且可以与原有的X86系统混合部署、统一管理；</w:t>
                  </w:r>
                  <w:r>
                    <w:br/>
                  </w:r>
                  <w:r>
                    <w:rPr>
                      <w:rFonts w:ascii="仿宋_GB2312" w:hAnsi="仿宋_GB2312" w:cs="仿宋_GB2312" w:eastAsia="仿宋_GB2312"/>
                      <w:sz w:val="24"/>
                      <w:color w:val="000000"/>
                    </w:rPr>
                    <w:t xml:space="preserve"> 5. ▲支持大屏展示便于客户直观查看虚拟化资源池的使用情况和健康状态，包括资源池使用情况，包括CPU使用率、内存使用率、存储使用率、虚拟机数量、物理主机数量以及集群故障与告警等。（提供产品功能截图并加盖厂商公章）</w:t>
                  </w:r>
                  <w:r>
                    <w:br/>
                  </w:r>
                  <w:r>
                    <w:rPr>
                      <w:rFonts w:ascii="仿宋_GB2312" w:hAnsi="仿宋_GB2312" w:cs="仿宋_GB2312" w:eastAsia="仿宋_GB2312"/>
                      <w:sz w:val="24"/>
                      <w:color w:val="000000"/>
                    </w:rPr>
                    <w:t xml:space="preserve"> 6. 为便于高效运维，平台需提供基于 PowerShell 脚本的命令行工具，通过命令行完成虚拟机管理、设备运维等全流程操作。</w:t>
                  </w:r>
                  <w:r>
                    <w:br/>
                  </w:r>
                  <w:r>
                    <w:rPr>
                      <w:rFonts w:ascii="仿宋_GB2312" w:hAnsi="仿宋_GB2312" w:cs="仿宋_GB2312" w:eastAsia="仿宋_GB2312"/>
                      <w:sz w:val="24"/>
                      <w:color w:val="000000"/>
                    </w:rPr>
                    <w:t xml:space="preserve"> 7. 管理平台可集中提供虚拟机的全生命周期操作：删除、开关机、挂起、重启、软关机、强制断电、克隆、热迁移、备份、快照及标签管理，全部支持一键批量执行，无需逐台处理</w:t>
                  </w:r>
                  <w:r>
                    <w:br/>
                  </w:r>
                  <w:r>
                    <w:rPr>
                      <w:rFonts w:ascii="仿宋_GB2312" w:hAnsi="仿宋_GB2312" w:cs="仿宋_GB2312" w:eastAsia="仿宋_GB2312"/>
                      <w:sz w:val="24"/>
                      <w:color w:val="000000"/>
                    </w:rPr>
                    <w:t xml:space="preserve"> 8. 管理平台支持设置告警类型和告警内容，针对告警信息平台可自动给出告警处理建议，同时支持将告警信息以短信和邮件方式发送给管理员。</w:t>
                  </w:r>
                  <w:r>
                    <w:br/>
                  </w:r>
                  <w:r>
                    <w:rPr>
                      <w:rFonts w:ascii="仿宋_GB2312" w:hAnsi="仿宋_GB2312" w:cs="仿宋_GB2312" w:eastAsia="仿宋_GB2312"/>
                      <w:sz w:val="24"/>
                      <w:color w:val="000000"/>
                    </w:rPr>
                    <w:t xml:space="preserve"> 9. 支持查看镜像页面，包括公共镜像、私有镜像和网络设备镜像，可对公共镜像、私有镜像和网络设备镜像进行统一上传镜像和管理操作；可通过镜像实现一键快速创建云主机，可对网络设备镜像通过网络拓扑进行虚拟化安全组件部署。</w:t>
                  </w:r>
                  <w:r>
                    <w:br/>
                  </w:r>
                  <w:r>
                    <w:rPr>
                      <w:rFonts w:ascii="仿宋_GB2312" w:hAnsi="仿宋_GB2312" w:cs="仿宋_GB2312" w:eastAsia="仿宋_GB2312"/>
                      <w:sz w:val="24"/>
                    </w:rPr>
                    <w:t xml:space="preserve"> 计算虚拟化软件要求：</w:t>
                  </w:r>
                  <w:r>
                    <w:br/>
                  </w:r>
                  <w:r>
                    <w:rPr>
                      <w:rFonts w:ascii="仿宋_GB2312" w:hAnsi="仿宋_GB2312" w:cs="仿宋_GB2312" w:eastAsia="仿宋_GB2312"/>
                      <w:sz w:val="24"/>
                      <w:color w:val="000000"/>
                    </w:rPr>
                    <w:t xml:space="preserve">1. </w:t>
                  </w:r>
                  <w:r>
                    <w:rPr>
                      <w:rFonts w:ascii="仿宋_GB2312" w:hAnsi="仿宋_GB2312" w:cs="仿宋_GB2312" w:eastAsia="仿宋_GB2312"/>
                      <w:sz w:val="24"/>
                      <w:color w:val="000000"/>
                    </w:rPr>
                    <w:t>提供计算服务虚拟化永久授权软件1套（无软件使用有效期限制），≥8颗CPU使用授权，不少于3年软件升级服务（提供厂商授权及售后服务承诺函）。</w:t>
                  </w:r>
                  <w:r>
                    <w:br/>
                  </w:r>
                  <w:r>
                    <w:rPr>
                      <w:rFonts w:ascii="仿宋_GB2312" w:hAnsi="仿宋_GB2312" w:cs="仿宋_GB2312" w:eastAsia="仿宋_GB2312"/>
                      <w:sz w:val="24"/>
                      <w:color w:val="000000"/>
                    </w:rPr>
                    <w:t xml:space="preserve"> 2. 提供热添加CPU、内存、磁盘、网卡的功能，无需中断或停机即可实现虚拟资源的在线添加。</w:t>
                  </w:r>
                  <w:r>
                    <w:br/>
                  </w:r>
                  <w:r>
                    <w:rPr>
                      <w:rFonts w:ascii="仿宋_GB2312" w:hAnsi="仿宋_GB2312" w:cs="仿宋_GB2312" w:eastAsia="仿宋_GB2312"/>
                      <w:sz w:val="24"/>
                      <w:color w:val="000000"/>
                    </w:rPr>
                    <w:t xml:space="preserve"> 3. ▲支持虚拟机备份，且支持通过备份找回重要文件，当前数据中心受到勒索病毒勒索的问题较多，或人为误操作等带来的风险较大，数据备份是解决此类问题的有效方式。所以要求平台支持虚拟机定期全量备份、增量备份，并支持静默备份方式确保数据一致性，支持按周、按天、按小时的备份策略（需提供产品功能截图，并加盖厂商公章）。</w:t>
                  </w:r>
                  <w:r>
                    <w:br/>
                  </w:r>
                  <w:r>
                    <w:rPr>
                      <w:rFonts w:ascii="仿宋_GB2312" w:hAnsi="仿宋_GB2312" w:cs="仿宋_GB2312" w:eastAsia="仿宋_GB2312"/>
                      <w:sz w:val="24"/>
                      <w:color w:val="000000"/>
                    </w:rPr>
                    <w:t xml:space="preserve"> 4. ▲支持动态资源平衡，自动完成负载均衡，最大化发挥主机性能，高负载时自动迁移虚拟机，保障业务稳定与集群资源平衡；可通过人工智能算法评估性能、可靠性等指标输出调度建议，提升调度精准度。（提供产品功能截图并加盖厂商公章）</w:t>
                  </w:r>
                  <w:r>
                    <w:br/>
                  </w:r>
                  <w:r>
                    <w:rPr>
                      <w:rFonts w:ascii="仿宋_GB2312" w:hAnsi="仿宋_GB2312" w:cs="仿宋_GB2312" w:eastAsia="仿宋_GB2312"/>
                      <w:sz w:val="24"/>
                      <w:color w:val="000000"/>
                    </w:rPr>
                    <w:t xml:space="preserve"> 5. 平台软件层具备内存巡检与自动隔离能力：一旦扫描发现任意槽位出现 ECC 可纠正（CE）或不可纠正（UE）错误，系统会立即将对应地址段从可用内存池中移除，并精准告警至故障槽位，从而将内存故障对业务的影响降至最低，有效防止因内存错误引发整机宕机。</w:t>
                  </w:r>
                  <w:r>
                    <w:br/>
                  </w:r>
                  <w:r>
                    <w:rPr>
                      <w:rFonts w:ascii="仿宋_GB2312" w:hAnsi="仿宋_GB2312" w:cs="仿宋_GB2312" w:eastAsia="仿宋_GB2312"/>
                      <w:sz w:val="24"/>
                      <w:color w:val="000000"/>
                    </w:rPr>
                    <w:t xml:space="preserve"> 6. 平台内置虚拟机回收站，被删除的虚拟机将暂存于回收站中，避免因误操作导致数据丢失；回收站支持配置文件保存周期，到期后文件将被自动清理。</w:t>
                  </w:r>
                  <w:r>
                    <w:br/>
                  </w:r>
                  <w:r>
                    <w:rPr>
                      <w:rFonts w:ascii="仿宋_GB2312" w:hAnsi="仿宋_GB2312" w:cs="仿宋_GB2312" w:eastAsia="仿宋_GB2312"/>
                      <w:sz w:val="24"/>
                      <w:color w:val="000000"/>
                    </w:rPr>
                    <w:t xml:space="preserve"> 7. ▲支持平台热升级，且升级过程中可指定主机升级顺序。（提供产品功能截图并加盖厂商公章）</w:t>
                  </w:r>
                  <w:r>
                    <w:br/>
                  </w:r>
                  <w:r>
                    <w:rPr>
                      <w:rFonts w:ascii="仿宋_GB2312" w:hAnsi="仿宋_GB2312" w:cs="仿宋_GB2312" w:eastAsia="仿宋_GB2312"/>
                      <w:sz w:val="24"/>
                      <w:color w:val="000000"/>
                    </w:rPr>
                    <w:t xml:space="preserve"> 8. 平台支持虚拟机空闲内存的回收，并可配置内存超配比例以提升资源利用率。</w:t>
                  </w:r>
                  <w:r>
                    <w:br/>
                  </w:r>
                  <w:r>
                    <w:rPr>
                      <w:rFonts w:ascii="仿宋_GB2312" w:hAnsi="仿宋_GB2312" w:cs="仿宋_GB2312" w:eastAsia="仿宋_GB2312"/>
                      <w:sz w:val="24"/>
                      <w:color w:val="000000"/>
                    </w:rPr>
                    <w:t xml:space="preserve"> 9. 超融合平台需提供在线升级能力，升级期间业务不中断；升级过程中支持节点级升级顺序编排和升级暂停，以保证升级流程的时间与步骤可控，满足平台定期升级保障稳定性、核心业务不停机的要求。</w:t>
                  </w:r>
                  <w:r>
                    <w:br/>
                  </w:r>
                  <w:r>
                    <w:rPr>
                      <w:rFonts w:ascii="仿宋_GB2312" w:hAnsi="仿宋_GB2312" w:cs="仿宋_GB2312" w:eastAsia="仿宋_GB2312"/>
                      <w:sz w:val="24"/>
                      <w:color w:val="000000"/>
                    </w:rPr>
                    <w:t xml:space="preserve"> 10. ▲平台支持集群环境一键健康检测，可灵活选择检测对象，涵盖系统运行状态检测（系统服务、配置文件、系统分区、存储空间）、系统配置检测（网口配置）和硬件健康检测三大类别。通过该能力替代低效的人工巡检，实现平台问题的提前发现与预警，避免故障波及业务运行。（提供产品功能截图并加盖厂商公章）</w:t>
                  </w:r>
                  <w:r>
                    <w:br/>
                  </w:r>
                  <w:r>
                    <w:rPr>
                      <w:rFonts w:ascii="仿宋_GB2312" w:hAnsi="仿宋_GB2312" w:cs="仿宋_GB2312" w:eastAsia="仿宋_GB2312"/>
                      <w:sz w:val="24"/>
                      <w:b/>
                      <w:color w:val="000000"/>
                    </w:rPr>
                    <w:t>存储虚拟化软件要求：</w:t>
                  </w:r>
                  <w:r>
                    <w:br/>
                  </w:r>
                  <w:r>
                    <w:rPr>
                      <w:rFonts w:ascii="仿宋_GB2312" w:hAnsi="仿宋_GB2312" w:cs="仿宋_GB2312" w:eastAsia="仿宋_GB2312"/>
                      <w:sz w:val="24"/>
                      <w:color w:val="000000"/>
                    </w:rPr>
                    <w:t xml:space="preserve"> 1. ▲提供存储虚拟化永久授权软件1套（无软件使用有效期限制），≥8颗CPU使用授权，不少于3年软件升级服务（提供厂商授权及售后服务承诺函）。</w:t>
                  </w:r>
                  <w:r>
                    <w:br/>
                  </w:r>
                  <w:r>
                    <w:rPr>
                      <w:rFonts w:ascii="仿宋_GB2312" w:hAnsi="仿宋_GB2312" w:cs="仿宋_GB2312" w:eastAsia="仿宋_GB2312"/>
                      <w:sz w:val="24"/>
                      <w:color w:val="000000"/>
                    </w:rPr>
                    <w:t xml:space="preserve"> 2. 兼容现有市场上主流的存储阵列产品，存储阵列类型包括SAN、NAS和iSCSI等。</w:t>
                  </w:r>
                  <w:r>
                    <w:br/>
                  </w:r>
                  <w:r>
                    <w:rPr>
                      <w:rFonts w:ascii="仿宋_GB2312" w:hAnsi="仿宋_GB2312" w:cs="仿宋_GB2312" w:eastAsia="仿宋_GB2312"/>
                      <w:sz w:val="24"/>
                      <w:color w:val="000000"/>
                    </w:rPr>
                    <w:t xml:space="preserve"> 3. 硬件故障触发数据迁移、重建或定时快照等操作时，会产生大量非业务IO流量，可能挤占业务带宽，为此，系统能够根据实时业务IO负载智能调节非业务流量的资源占用，确保硬件故障场景下业务性能不受影响。</w:t>
                  </w:r>
                  <w:r>
                    <w:br/>
                  </w:r>
                  <w:r>
                    <w:rPr>
                      <w:rFonts w:ascii="仿宋_GB2312" w:hAnsi="仿宋_GB2312" w:cs="仿宋_GB2312" w:eastAsia="仿宋_GB2312"/>
                      <w:sz w:val="24"/>
                    </w:rPr>
                    <w:t xml:space="preserve"> 4. ▲支持快速全量克隆、全量克隆和链接克隆多种克隆方式，克隆完成后虚拟机可自动启动。（提供产品功能截图和具备CMA或CNAS标识的第三方检测报告并加盖厂商公章）</w:t>
                  </w:r>
                  <w:r>
                    <w:br/>
                  </w:r>
                  <w:r>
                    <w:rPr>
                      <w:rFonts w:ascii="仿宋_GB2312" w:hAnsi="仿宋_GB2312" w:cs="仿宋_GB2312" w:eastAsia="仿宋_GB2312"/>
                      <w:sz w:val="24"/>
                      <w:color w:val="000000"/>
                    </w:rPr>
                    <w:t xml:space="preserve">5. </w:t>
                  </w:r>
                  <w:r>
                    <w:rPr>
                      <w:rFonts w:ascii="仿宋_GB2312" w:hAnsi="仿宋_GB2312" w:cs="仿宋_GB2312" w:eastAsia="仿宋_GB2312"/>
                      <w:sz w:val="24"/>
                      <w:color w:val="000000"/>
                    </w:rPr>
                    <w:t>为降低IO时延、提升存储性能，超融合平台支持创建Turbo虚拟机，并可按虚拟机或集群粒度灵活启用和禁用Turbo模式。</w:t>
                  </w:r>
                  <w:r>
                    <w:br/>
                  </w:r>
                  <w:r>
                    <w:rPr>
                      <w:rFonts w:ascii="仿宋_GB2312" w:hAnsi="仿宋_GB2312" w:cs="仿宋_GB2312" w:eastAsia="仿宋_GB2312"/>
                      <w:sz w:val="24"/>
                      <w:color w:val="000000"/>
                    </w:rPr>
                    <w:t xml:space="preserve"> 6. 为保障硬盘健康，支持硬盘坏道扫描，及时发现潜在硬盘问题；支持自动化对坏道数据进行修复处理。</w:t>
                  </w:r>
                  <w:r>
                    <w:br/>
                  </w:r>
                  <w:r>
                    <w:rPr>
                      <w:rFonts w:ascii="仿宋_GB2312" w:hAnsi="仿宋_GB2312" w:cs="仿宋_GB2312" w:eastAsia="仿宋_GB2312"/>
                      <w:sz w:val="24"/>
                    </w:rPr>
                    <w:t xml:space="preserve"> 7. ▲为满足不同场景下存储对性能与可靠性的差异化需求，可针对虚拟机磁盘灵活配置各类存储策略，例如为核心业务虚拟机配置三副本存储策略，为普通业务虚拟机配置双副本存储策略。（提供产品功能截图并加盖厂商公章）</w:t>
                  </w:r>
                  <w:r>
                    <w:br/>
                  </w:r>
                  <w:r>
                    <w:rPr>
                      <w:rFonts w:ascii="仿宋_GB2312" w:hAnsi="仿宋_GB2312" w:cs="仿宋_GB2312" w:eastAsia="仿宋_GB2312"/>
                      <w:sz w:val="24"/>
                      <w:color w:val="000000"/>
                    </w:rPr>
                    <w:t xml:space="preserve"> 8. </w:t>
                  </w:r>
                  <w:r>
                    <w:rPr>
                      <w:rFonts w:ascii="仿宋_GB2312" w:hAnsi="仿宋_GB2312" w:cs="仿宋_GB2312" w:eastAsia="仿宋_GB2312"/>
                      <w:sz w:val="24"/>
                      <w:color w:val="000000"/>
                    </w:rPr>
                    <w:t>支持硬盘漫游功能，支持同一控制卡下移动物理硬盘，防止运维误操作。</w:t>
                  </w:r>
                  <w:r>
                    <w:br/>
                  </w:r>
                  <w:r>
                    <w:rPr>
                      <w:rFonts w:ascii="仿宋_GB2312" w:hAnsi="仿宋_GB2312" w:cs="仿宋_GB2312" w:eastAsia="仿宋_GB2312"/>
                      <w:sz w:val="24"/>
                      <w:color w:val="000000"/>
                    </w:rPr>
                    <w:t xml:space="preserve"> 9. 为提升存储读写性能，平台提供条带化功能，支持针对每个虚拟磁盘单独设定条带数；用户可在虚拟存储模块中通过新增存储策略完成条带数的配置。</w:t>
                  </w:r>
                  <w:r>
                    <w:br/>
                  </w:r>
                  <w:r>
                    <w:rPr>
                      <w:rFonts w:ascii="仿宋_GB2312" w:hAnsi="仿宋_GB2312" w:cs="仿宋_GB2312" w:eastAsia="仿宋_GB2312"/>
                      <w:sz w:val="24"/>
                    </w:rPr>
                    <w:t xml:space="preserve"> 10. ▲支持硬盘寿命预测和存储容量预测，防止硬盘突然损坏或容量不足。（提供产品功能截图和具备CMA标识的第三方检测报告并加盖厂商公章）</w:t>
                  </w:r>
                  <w:r>
                    <w:br/>
                  </w:r>
                  <w:r>
                    <w:rPr>
                      <w:rFonts w:ascii="仿宋_GB2312" w:hAnsi="仿宋_GB2312" w:cs="仿宋_GB2312" w:eastAsia="仿宋_GB2312"/>
                      <w:sz w:val="24"/>
                      <w:b/>
                    </w:rPr>
                    <w:t>网络虚拟化软件要求：</w:t>
                  </w:r>
                  <w:r>
                    <w:br/>
                  </w:r>
                  <w:r>
                    <w:rPr>
                      <w:rFonts w:ascii="仿宋_GB2312" w:hAnsi="仿宋_GB2312" w:cs="仿宋_GB2312" w:eastAsia="仿宋_GB2312"/>
                      <w:sz w:val="24"/>
                    </w:rPr>
                    <w:t xml:space="preserve"> 1. 提供网络虚拟化永久授权软件1套（无软件使用有效期限制）；≥8颗CPU使用授权，不限制虚拟路由器和虚拟交换机的使用数量，不少于3年软件升级服务（提供厂商授权及售后服务承诺函）。</w:t>
                  </w:r>
                  <w:r>
                    <w:br/>
                  </w:r>
                  <w:r>
                    <w:rPr>
                      <w:rFonts w:ascii="仿宋_GB2312" w:hAnsi="仿宋_GB2312" w:cs="仿宋_GB2312" w:eastAsia="仿宋_GB2312"/>
                      <w:sz w:val="24"/>
                    </w:rPr>
                    <w:t xml:space="preserve"> 2. 支持为虚拟机配置 IPv6 地址，且虚拟机可通过该 IPv6 地址实现业务的正常访问。</w:t>
                  </w:r>
                  <w:r>
                    <w:br/>
                  </w:r>
                  <w:r>
                    <w:rPr>
                      <w:rFonts w:ascii="仿宋_GB2312" w:hAnsi="仿宋_GB2312" w:cs="仿宋_GB2312" w:eastAsia="仿宋_GB2312"/>
                      <w:sz w:val="24"/>
                    </w:rPr>
                    <w:t xml:space="preserve"> 3. 为方便运维操作，支持网络图形化编排，编辑网络拓扑及拖拽网元即可完成网络拓扑的创建、变更。</w:t>
                  </w:r>
                  <w:r>
                    <w:br/>
                  </w:r>
                  <w:r>
                    <w:rPr>
                      <w:rFonts w:ascii="仿宋_GB2312" w:hAnsi="仿宋_GB2312" w:cs="仿宋_GB2312" w:eastAsia="仿宋_GB2312"/>
                      <w:sz w:val="24"/>
                    </w:rPr>
                    <w:t xml:space="preserve"> 4. ▲支持网络亚健康检测告警，可精准定位光衰引发的时延/闪断，可溯源至聚合网口（管理/业务/存储）内具体链路，支持按预设策略，自动隔离亚健康网口，保障网络传输可靠。（提供产品功能截图并加盖厂商公章）</w:t>
                  </w:r>
                  <w:r>
                    <w:br/>
                  </w:r>
                  <w:r>
                    <w:rPr>
                      <w:rFonts w:ascii="仿宋_GB2312" w:hAnsi="仿宋_GB2312" w:cs="仿宋_GB2312" w:eastAsia="仿宋_GB2312"/>
                      <w:sz w:val="24"/>
                    </w:rPr>
                    <w:t xml:space="preserve"> 5. 支持对网口、对象类型、IP地址等进行网络连通性探测，可查看网络探测是否成功。</w:t>
                  </w:r>
                  <w:r>
                    <w:br/>
                  </w:r>
                  <w:r>
                    <w:rPr>
                      <w:rFonts w:ascii="仿宋_GB2312" w:hAnsi="仿宋_GB2312" w:cs="仿宋_GB2312" w:eastAsia="仿宋_GB2312"/>
                      <w:sz w:val="24"/>
                    </w:rPr>
                    <w:t xml:space="preserve"> 6. ▲为了保障超融合内部的东西向之间的访问安全，需要提供不限制数量的虚拟路由器（vRouter）及虚拟交换机（vSwitch），分布式防火墙授权≥300个。分布式防火墙策略支持与虚拟机高可用功能联动，确保虚拟机发生主机飘移时防火墙策略能够跟随虚拟机绑定生效，确保网络隔离不中断、策略平面零漂移。（提供分布式防火墙功能截图及授权声明并加盖厂商公章）。</w:t>
                  </w:r>
                  <w:r>
                    <w:br/>
                  </w:r>
                  <w:r>
                    <w:rPr>
                      <w:rFonts w:ascii="仿宋_GB2312" w:hAnsi="仿宋_GB2312" w:cs="仿宋_GB2312" w:eastAsia="仿宋_GB2312"/>
                      <w:sz w:val="24"/>
                    </w:rPr>
                    <w:t xml:space="preserve"> 7. 支持在网络可视化界面显示两台虚机间的访问流。可以通过分布式防火墙中断访问流并显示通信状态。可以显示所有虚拟机的流量走向与访问关系，包括源对象、源 IP、目标对象、目的IP、访问次数、服务类型、动作。（需提供具有CNAS、CMA资质的第三方测试机构的证明材料，至少包含报告首页，对应功能测试页和报告尾页）</w:t>
                  </w:r>
                  <w:r>
                    <w:br/>
                  </w:r>
                  <w:r>
                    <w:rPr>
                      <w:rFonts w:ascii="仿宋_GB2312" w:hAnsi="仿宋_GB2312" w:cs="仿宋_GB2312" w:eastAsia="仿宋_GB2312"/>
                      <w:sz w:val="24"/>
                    </w:rPr>
                    <w:t xml:space="preserve"> 8. ▲超融合应支持微隔离策略推荐，自动通过访问关系、历史流量和用户配置来生成最适合的微隔离规则，并且可以预发布策略，预览访问关系和防护状况，在二次确认后发布推荐策略。（需提供产品功能截图，并加盖厂商公章）</w:t>
                  </w:r>
                  <w:r>
                    <w:br/>
                  </w:r>
                  <w:r>
                    <w:rPr>
                      <w:rFonts w:ascii="仿宋_GB2312" w:hAnsi="仿宋_GB2312" w:cs="仿宋_GB2312" w:eastAsia="仿宋_GB2312"/>
                      <w:sz w:val="24"/>
                      <w:b/>
                    </w:rPr>
                    <w:t>安全虚拟化要求：</w:t>
                  </w:r>
                  <w:r>
                    <w:br/>
                  </w:r>
                  <w:r>
                    <w:rPr>
                      <w:rFonts w:ascii="仿宋_GB2312" w:hAnsi="仿宋_GB2312" w:cs="仿宋_GB2312" w:eastAsia="仿宋_GB2312"/>
                      <w:sz w:val="24"/>
                    </w:rPr>
                    <w:t xml:space="preserve"> 1. 提供安全虚拟化永久授权软件1套（无软件使用有效期限制）；≥8颗CPU使用授权，不少于3年软件升级服务（提供厂商授权及售后服务承诺函）。</w:t>
                  </w:r>
                  <w:r>
                    <w:br/>
                  </w:r>
                  <w:r>
                    <w:rPr>
                      <w:rFonts w:ascii="仿宋_GB2312" w:hAnsi="仿宋_GB2312" w:cs="仿宋_GB2312" w:eastAsia="仿宋_GB2312"/>
                      <w:sz w:val="24"/>
                    </w:rPr>
                    <w:t xml:space="preserve"> 2. 基于业务安全合规考虑，需要超融合软件能够对接加密机、加密卡产品。</w:t>
                  </w:r>
                  <w:r>
                    <w:br/>
                  </w:r>
                  <w:r>
                    <w:rPr>
                      <w:rFonts w:ascii="仿宋_GB2312" w:hAnsi="仿宋_GB2312" w:cs="仿宋_GB2312" w:eastAsia="仿宋_GB2312"/>
                      <w:sz w:val="24"/>
                    </w:rPr>
                    <w:t xml:space="preserve"> 3. ▲基于业务安全考虑，避免产生额外的经济损失，同时简化安全问题处置复杂度，需要云平台提供可靠的向导化勒索病毒处理流程，包括紧急隔离、保留当前状态、恢复云主机、扫描病毒、恢复网络。并支持事前勒索病毒防护、事中检测疑似勒索可打自动对虚拟机打快照、事后勒索病毒向导化处理（需提供具有CNAS、CMA资质的第三方测试机构的证明材料，至少包含报告首页，对应功能测试页和报告尾页）</w:t>
                  </w:r>
                  <w:r>
                    <w:br/>
                  </w:r>
                  <w:r>
                    <w:rPr>
                      <w:rFonts w:ascii="仿宋_GB2312" w:hAnsi="仿宋_GB2312" w:cs="仿宋_GB2312" w:eastAsia="仿宋_GB2312"/>
                      <w:sz w:val="24"/>
                    </w:rPr>
                    <w:t xml:space="preserve"> 4. 为便于运维人员及时获取平台安全情况，云安全中心需要支持安全事件展示、安全风险分析、风险趋势分析、告警与处置记录、病毒和漏洞扫描记录，并实时监控虚拟机的防护状态。</w:t>
                  </w:r>
                  <w:r>
                    <w:br/>
                  </w:r>
                  <w:r>
                    <w:rPr>
                      <w:rFonts w:ascii="仿宋_GB2312" w:hAnsi="仿宋_GB2312" w:cs="仿宋_GB2312" w:eastAsia="仿宋_GB2312"/>
                      <w:sz w:val="24"/>
                    </w:rPr>
                    <w:t xml:space="preserve"> 5. ▲要求安全虚拟化平台具备自动化能力，在为虚拟机部署性能优化工具的同时，同步完成 agent 的安装部署，实现对系统的安全防护。（需提供具有CNAS、CMA资质的第三方测试机构的证明材料，至少包含报告首页，对应功能测试页和报告尾页）</w:t>
                  </w:r>
                  <w:r>
                    <w:br/>
                  </w:r>
                  <w:r>
                    <w:rPr>
                      <w:rFonts w:ascii="仿宋_GB2312" w:hAnsi="仿宋_GB2312" w:cs="仿宋_GB2312" w:eastAsia="仿宋_GB2312"/>
                      <w:sz w:val="24"/>
                    </w:rPr>
                    <w:t xml:space="preserve"> 6. 为保障业务虚拟机安全，云平台需具备虚拟机漏洞扫描能力，可对漏洞情况进行全面检测，并提供漏洞详情查阅，涵盖检测时间、检测来源、解决建议及修复流程等关键信息。同时，平台须支持对扫描发现的漏洞进行直接修复。</w:t>
                  </w:r>
                  <w:r>
                    <w:br/>
                  </w:r>
                  <w:r>
                    <w:rPr>
                      <w:rFonts w:ascii="仿宋_GB2312" w:hAnsi="仿宋_GB2312" w:cs="仿宋_GB2312" w:eastAsia="仿宋_GB2312"/>
                      <w:sz w:val="24"/>
                    </w:rPr>
                    <w:t xml:space="preserve"> 7. 云平台提供防暴力破解功能，涵盖检测、封堵与展示三个层面：检测层面，支持对单个及分布式攻击源的暴力破解行为进行统计识别；封堵层面，可按RDP、SMB、SSH协议类型实施封堵，并支持自定义爆破阈值与封停时长；展示层面，可呈现终端检测到的暴力破解事件列表及详情，包括攻击源、攻击类型和最后攻击时间。</w:t>
                  </w:r>
                  <w:r>
                    <w:br/>
                  </w:r>
                  <w:r>
                    <w:rPr>
                      <w:rFonts w:ascii="仿宋_GB2312" w:hAnsi="仿宋_GB2312" w:cs="仿宋_GB2312" w:eastAsia="仿宋_GB2312"/>
                      <w:sz w:val="24"/>
                    </w:rPr>
                    <w:t xml:space="preserve"> 8. ▲由于本单位多数业务在云平台需要无中断、安全运行，当出现网络攻击时，云平台须具备虚拟补丁能力，可以在主机操作系统不打补丁的情况下直接在网络层对指定虚拟机开启虚拟补丁防护。（需提供产品功能截图，并加盖厂商公章）</w:t>
                  </w:r>
                </w:p>
              </w:tc>
              <w:tc>
                <w:tcPr>
                  <w:tcW w:type="dxa" w:w="118"/>
                  <w:vMerge w:val="restart"/>
                  <w:tcBorders>
                    <w:top w:val="none" w:color="000000" w:sz="4"/>
                    <w:left w:val="none" w:color="000000" w:sz="4"/>
                    <w:bottom w:val="single" w:color="000000" w:sz="4"/>
                    <w:right w:val="single" w:color="000000" w:sz="4"/>
                  </w:tcBorders>
                  <w:shd w:fill="DDEBF7"/>
                  <w:tcMar>
                    <w:top w:type="dxa" w:w="0"/>
                    <w:left w:type="dxa" w:w="105"/>
                    <w:bottom w:type="dxa" w:w="0"/>
                    <w:right w:type="dxa" w:w="105"/>
                  </w:tcMar>
                </w:tcPr>
                <w:p>
                  <w:pPr>
                    <w:pStyle w:val="null3"/>
                    <w:jc w:val="center"/>
                  </w:pPr>
                  <w:r>
                    <w:rPr>
                      <w:rFonts w:ascii="仿宋_GB2312" w:hAnsi="仿宋_GB2312" w:cs="仿宋_GB2312" w:eastAsia="仿宋_GB2312"/>
                      <w:sz w:val="24"/>
                      <w:color w:val="333333"/>
                    </w:rPr>
                    <w:t>套</w:t>
                  </w:r>
                </w:p>
              </w:tc>
              <w:tc>
                <w:tcPr>
                  <w:tcW w:type="dxa" w:w="94"/>
                  <w:vMerge w:val="restart"/>
                  <w:tcBorders>
                    <w:top w:val="none" w:color="000000" w:sz="4"/>
                    <w:left w:val="none" w:color="000000" w:sz="4"/>
                    <w:bottom w:val="single" w:color="000000" w:sz="4"/>
                    <w:right w:val="single" w:color="000000" w:sz="4"/>
                  </w:tcBorders>
                  <w:shd w:fill="DDEBF7"/>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63"/>
                  <w:tcBorders>
                    <w:top w:val="none" w:color="000000" w:sz="4"/>
                    <w:left w:val="none" w:color="000000" w:sz="4"/>
                    <w:bottom w:val="single" w:color="000000" w:sz="4"/>
                    <w:right w:val="none" w:color="000000" w:sz="4"/>
                  </w:tcBorders>
                </w:tcPr>
                <w:p>
                  <w:pPr>
                    <w:pStyle w:val="null3"/>
                    <w:jc w:val="both"/>
                  </w:pPr>
                  <w:r>
                    <w:rPr>
                      <w:rFonts w:ascii="仿宋_GB2312" w:hAnsi="仿宋_GB2312" w:cs="仿宋_GB2312" w:eastAsia="仿宋_GB2312"/>
                      <w:sz w:val="21"/>
                    </w:rPr>
                    <w:t xml:space="preserve"> </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173"/>
                  <w:vMerge/>
                  <w:tcBorders>
                    <w:top w:val="none" w:color="000000" w:sz="4"/>
                    <w:left w:val="single" w:color="000000" w:sz="4"/>
                    <w:bottom w:val="single" w:color="000000" w:sz="4"/>
                    <w:right w:val="single" w:color="000000" w:sz="4"/>
                  </w:tcBorders>
                </w:tcPr>
                <w:p/>
              </w:tc>
              <w:tc>
                <w:tcPr>
                  <w:tcW w:type="dxa" w:w="351"/>
                  <w:vMerge/>
                  <w:tcBorders>
                    <w:top w:val="none" w:color="000000" w:sz="4"/>
                    <w:left w:val="none" w:color="000000" w:sz="4"/>
                    <w:bottom w:val="single" w:color="000000" w:sz="4"/>
                    <w:right w:val="single" w:color="000000" w:sz="4"/>
                  </w:tcBorders>
                </w:tcPr>
                <w:p/>
              </w:tc>
              <w:tc>
                <w:tcPr>
                  <w:tcW w:type="dxa" w:w="1750"/>
                  <w:vMerge/>
                  <w:tcBorders>
                    <w:top w:val="none" w:color="000000" w:sz="4"/>
                    <w:left w:val="none" w:color="000000" w:sz="4"/>
                    <w:bottom w:val="single" w:color="000000" w:sz="4"/>
                    <w:right w:val="single" w:color="000000" w:sz="4"/>
                  </w:tcBorders>
                </w:tcPr>
                <w:p/>
              </w:tc>
              <w:tc>
                <w:tcPr>
                  <w:tcW w:type="dxa" w:w="118"/>
                  <w:vMerge/>
                  <w:tcBorders>
                    <w:top w:val="none" w:color="000000" w:sz="4"/>
                    <w:left w:val="none" w:color="000000" w:sz="4"/>
                    <w:bottom w:val="single" w:color="000000" w:sz="4"/>
                    <w:right w:val="single" w:color="000000" w:sz="4"/>
                  </w:tcBorders>
                </w:tcPr>
                <w:p/>
              </w:tc>
              <w:tc>
                <w:tcPr>
                  <w:tcW w:type="dxa" w:w="94"/>
                  <w:vMerge/>
                  <w:tcBorders>
                    <w:top w:val="none" w:color="000000" w:sz="4"/>
                    <w:left w:val="none" w:color="000000" w:sz="4"/>
                    <w:bottom w:val="single" w:color="000000" w:sz="4"/>
                    <w:right w:val="single" w:color="000000" w:sz="4"/>
                  </w:tcBorders>
                </w:tcPr>
                <w:p/>
              </w:tc>
              <w:tc>
                <w:tcPr>
                  <w:tcW w:type="dxa" w:w="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173"/>
                  <w:tcBorders>
                    <w:top w:val="none" w:color="000000" w:sz="4"/>
                    <w:left w:val="single" w:color="000000" w:sz="4"/>
                    <w:bottom w:val="single" w:color="000000" w:sz="4"/>
                    <w:right w:val="single" w:color="000000" w:sz="4"/>
                  </w:tcBorders>
                  <w:shd w:fill="DDEBF7"/>
                  <w:tcMar>
                    <w:top w:type="dxa" w:w="0"/>
                    <w:left w:type="dxa" w:w="105"/>
                    <w:bottom w:type="dxa" w:w="0"/>
                    <w:right w:type="dxa" w:w="105"/>
                  </w:tcMar>
                </w:tcPr>
                <w:p>
                  <w:pPr>
                    <w:pStyle w:val="null3"/>
                    <w:jc w:val="center"/>
                  </w:pPr>
                </w:p>
              </w:tc>
              <w:tc>
                <w:tcPr>
                  <w:tcW w:type="dxa" w:w="351"/>
                  <w:tcBorders>
                    <w:top w:val="none" w:color="000000" w:sz="4"/>
                    <w:left w:val="none" w:color="000000" w:sz="4"/>
                    <w:bottom w:val="single" w:color="000000" w:sz="4"/>
                    <w:right w:val="single" w:color="000000" w:sz="4"/>
                  </w:tcBorders>
                  <w:shd w:fill="DDEBF7"/>
                  <w:tcMar>
                    <w:top w:type="dxa" w:w="0"/>
                    <w:left w:type="dxa" w:w="105"/>
                    <w:bottom w:type="dxa" w:w="0"/>
                    <w:right w:type="dxa" w:w="105"/>
                  </w:tcMar>
                </w:tcPr>
                <w:p/>
              </w:tc>
              <w:tc>
                <w:tcPr>
                  <w:tcW w:type="dxa" w:w="1750"/>
                  <w:vMerge/>
                  <w:tcBorders>
                    <w:top w:val="none" w:color="000000" w:sz="4"/>
                    <w:left w:val="none" w:color="000000" w:sz="4"/>
                    <w:bottom w:val="single" w:color="000000" w:sz="4"/>
                    <w:right w:val="single" w:color="000000" w:sz="4"/>
                  </w:tcBorders>
                </w:tcPr>
                <w:p/>
              </w:tc>
              <w:tc>
                <w:tcPr>
                  <w:tcW w:type="dxa" w:w="118"/>
                  <w:tcBorders>
                    <w:top w:val="none" w:color="000000" w:sz="4"/>
                    <w:left w:val="none" w:color="000000" w:sz="4"/>
                    <w:bottom w:val="single" w:color="000000" w:sz="4"/>
                    <w:right w:val="single" w:color="000000" w:sz="4"/>
                  </w:tcBorders>
                  <w:shd w:fill="DDEBF7"/>
                  <w:tcMar>
                    <w:top w:type="dxa" w:w="0"/>
                    <w:left w:type="dxa" w:w="105"/>
                    <w:bottom w:type="dxa" w:w="0"/>
                    <w:right w:type="dxa" w:w="105"/>
                  </w:tcMar>
                </w:tcPr>
                <w:p>
                  <w:pPr>
                    <w:pStyle w:val="null3"/>
                    <w:jc w:val="center"/>
                  </w:pPr>
                  <w:r>
                    <w:rPr>
                      <w:rFonts w:ascii="仿宋_GB2312" w:hAnsi="仿宋_GB2312" w:cs="仿宋_GB2312" w:eastAsia="仿宋_GB2312"/>
                      <w:sz w:val="24"/>
                      <w:color w:val="333333"/>
                    </w:rPr>
                    <w:t>台</w:t>
                  </w:r>
                </w:p>
              </w:tc>
              <w:tc>
                <w:tcPr>
                  <w:tcW w:type="dxa" w:w="94"/>
                  <w:tcBorders>
                    <w:top w:val="none" w:color="000000" w:sz="4"/>
                    <w:left w:val="none" w:color="000000" w:sz="4"/>
                    <w:bottom w:val="single" w:color="000000" w:sz="4"/>
                    <w:right w:val="single" w:color="000000" w:sz="4"/>
                  </w:tcBorders>
                  <w:shd w:fill="DDEBF7"/>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173"/>
                  <w:tcBorders>
                    <w:top w:val="none" w:color="000000" w:sz="4"/>
                    <w:left w:val="single" w:color="000000" w:sz="4"/>
                    <w:bottom w:val="single" w:color="000000" w:sz="4"/>
                    <w:right w:val="single" w:color="000000" w:sz="4"/>
                  </w:tcBorders>
                  <w:shd w:fill="DDEBF7"/>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w:t>
                  </w:r>
                </w:p>
              </w:tc>
              <w:tc>
                <w:tcPr>
                  <w:tcW w:type="dxa" w:w="351"/>
                  <w:tcBorders>
                    <w:top w:val="none" w:color="000000" w:sz="4"/>
                    <w:left w:val="none" w:color="000000" w:sz="4"/>
                    <w:bottom w:val="single" w:color="000000" w:sz="4"/>
                    <w:right w:val="single" w:color="000000" w:sz="4"/>
                  </w:tcBorders>
                  <w:shd w:fill="DDEBF7"/>
                  <w:tcMar>
                    <w:top w:type="dxa" w:w="0"/>
                    <w:left w:type="dxa" w:w="105"/>
                    <w:bottom w:type="dxa" w:w="0"/>
                    <w:right w:type="dxa" w:w="105"/>
                  </w:tcMar>
                </w:tcPr>
                <w:p>
                  <w:pPr>
                    <w:pStyle w:val="null3"/>
                    <w:jc w:val="left"/>
                  </w:pPr>
                  <w:r>
                    <w:rPr>
                      <w:rFonts w:ascii="仿宋_GB2312" w:hAnsi="仿宋_GB2312" w:cs="仿宋_GB2312" w:eastAsia="仿宋_GB2312"/>
                      <w:sz w:val="24"/>
                      <w:color w:val="333333"/>
                    </w:rPr>
                    <w:t>企业级分布式存储</w:t>
                  </w:r>
                </w:p>
              </w:tc>
              <w:tc>
                <w:tcPr>
                  <w:tcW w:type="dxa" w:w="1750"/>
                  <w:tcBorders>
                    <w:top w:val="none" w:color="000000" w:sz="4"/>
                    <w:left w:val="none" w:color="000000" w:sz="4"/>
                    <w:bottom w:val="single" w:color="000000" w:sz="4"/>
                    <w:right w:val="single" w:color="000000" w:sz="4"/>
                  </w:tcBorders>
                  <w:shd w:fill="DDEBF7"/>
                  <w:tcMar>
                    <w:top w:type="dxa" w:w="0"/>
                    <w:left w:type="dxa" w:w="105"/>
                    <w:bottom w:type="dxa" w:w="0"/>
                    <w:right w:type="dxa" w:w="105"/>
                  </w:tcMar>
                </w:tcPr>
                <w:p>
                  <w:pPr>
                    <w:pStyle w:val="null3"/>
                    <w:jc w:val="left"/>
                  </w:pPr>
                  <w:r>
                    <w:rPr>
                      <w:rFonts w:ascii="仿宋_GB2312" w:hAnsi="仿宋_GB2312" w:cs="仿宋_GB2312" w:eastAsia="仿宋_GB2312"/>
                      <w:sz w:val="24"/>
                      <w:color w:val="000000"/>
                    </w:rPr>
                    <w:t>企业级分布式存储一套：</w:t>
                  </w:r>
                  <w:r>
                    <w:br/>
                  </w:r>
                  <w:r>
                    <w:rPr>
                      <w:rFonts w:ascii="仿宋_GB2312" w:hAnsi="仿宋_GB2312" w:cs="仿宋_GB2312" w:eastAsia="仿宋_GB2312"/>
                      <w:sz w:val="24"/>
                      <w:color w:val="000000"/>
                    </w:rPr>
                    <w:t xml:space="preserve"> 硬件要求：3个节点，每个节点配置要求如下：</w:t>
                  </w:r>
                  <w:r>
                    <w:br/>
                  </w:r>
                  <w:r>
                    <w:rPr>
                      <w:rFonts w:ascii="仿宋_GB2312" w:hAnsi="仿宋_GB2312" w:cs="仿宋_GB2312" w:eastAsia="仿宋_GB2312"/>
                      <w:sz w:val="24"/>
                      <w:color w:val="000000"/>
                    </w:rPr>
                    <w:t xml:space="preserve"> 1. 标准4U机架式服务器。</w:t>
                  </w:r>
                  <w:r>
                    <w:br/>
                  </w:r>
                  <w:r>
                    <w:rPr>
                      <w:rFonts w:ascii="仿宋_GB2312" w:hAnsi="仿宋_GB2312" w:cs="仿宋_GB2312" w:eastAsia="仿宋_GB2312"/>
                      <w:sz w:val="24"/>
                      <w:color w:val="000000"/>
                    </w:rPr>
                    <w:t xml:space="preserve"> 2. 单台CPU： 2 颗国产化ARM架构CPU，单颗处理器≥32核，主频≥2.6GHz。</w:t>
                  </w:r>
                  <w:r>
                    <w:br/>
                  </w:r>
                  <w:r>
                    <w:rPr>
                      <w:rFonts w:ascii="仿宋_GB2312" w:hAnsi="仿宋_GB2312" w:cs="仿宋_GB2312" w:eastAsia="仿宋_GB2312"/>
                      <w:sz w:val="24"/>
                      <w:color w:val="000000"/>
                    </w:rPr>
                    <w:t xml:space="preserve"> 3. 内存：≥8*32G 内存。</w:t>
                  </w:r>
                  <w:r>
                    <w:br/>
                  </w:r>
                  <w:r>
                    <w:rPr>
                      <w:rFonts w:ascii="仿宋_GB2312" w:hAnsi="仿宋_GB2312" w:cs="仿宋_GB2312" w:eastAsia="仿宋_GB2312"/>
                      <w:sz w:val="24"/>
                      <w:color w:val="000000"/>
                    </w:rPr>
                    <w:t xml:space="preserve"> 4. 硬盘：≥2块480 GB SSD 固态硬盘。≥4块固态硬盘7.68T NVME SSD，≥24 块20TB SATA HDD 机械硬盘。</w:t>
                  </w:r>
                </w:p>
                <w:p>
                  <w:pPr>
                    <w:pStyle w:val="null3"/>
                    <w:jc w:val="left"/>
                  </w:pPr>
                  <w:r>
                    <w:rPr>
                      <w:rFonts w:ascii="仿宋_GB2312" w:hAnsi="仿宋_GB2312" w:cs="仿宋_GB2312" w:eastAsia="仿宋_GB2312"/>
                      <w:sz w:val="24"/>
                      <w:color w:val="000000"/>
                    </w:rPr>
                    <w:t xml:space="preserve">5. </w:t>
                  </w:r>
                  <w:r>
                    <w:rPr>
                      <w:rFonts w:ascii="仿宋_GB2312" w:hAnsi="仿宋_GB2312" w:cs="仿宋_GB2312" w:eastAsia="仿宋_GB2312"/>
                      <w:sz w:val="24"/>
                      <w:color w:val="000000"/>
                    </w:rPr>
                    <w:t>网卡：≥4个千兆电口；≥4个25G光口（含多模光纤模块）。</w:t>
                  </w:r>
                  <w:r>
                    <w:br/>
                  </w:r>
                  <w:r>
                    <w:rPr>
                      <w:rFonts w:ascii="仿宋_GB2312" w:hAnsi="仿宋_GB2312" w:cs="仿宋_GB2312" w:eastAsia="仿宋_GB2312"/>
                      <w:sz w:val="24"/>
                      <w:color w:val="000000"/>
                    </w:rPr>
                    <w:t xml:space="preserve"> 6. 电源：冗余电源。</w:t>
                  </w:r>
                  <w:r>
                    <w:br/>
                  </w:r>
                  <w:r>
                    <w:rPr>
                      <w:rFonts w:ascii="仿宋_GB2312" w:hAnsi="仿宋_GB2312" w:cs="仿宋_GB2312" w:eastAsia="仿宋_GB2312"/>
                      <w:sz w:val="24"/>
                      <w:color w:val="000000"/>
                    </w:rPr>
                    <w:t xml:space="preserve"> 7. 提供3年原厂免费软件升级。（提供厂商售后服务承诺函）</w:t>
                  </w:r>
                  <w:r>
                    <w:br/>
                  </w:r>
                  <w:r>
                    <w:rPr>
                      <w:rFonts w:ascii="仿宋_GB2312" w:hAnsi="仿宋_GB2312" w:cs="仿宋_GB2312" w:eastAsia="仿宋_GB2312"/>
                      <w:sz w:val="24"/>
                      <w:color w:val="000000"/>
                    </w:rPr>
                    <w:t xml:space="preserve"> 功能要求：</w:t>
                  </w:r>
                  <w:r>
                    <w:br/>
                  </w:r>
                  <w:r>
                    <w:rPr>
                      <w:rFonts w:ascii="仿宋_GB2312" w:hAnsi="仿宋_GB2312" w:cs="仿宋_GB2312" w:eastAsia="仿宋_GB2312"/>
                      <w:sz w:val="24"/>
                      <w:color w:val="000000"/>
                    </w:rPr>
                    <w:t xml:space="preserve"> 1. ▲本次项目提供不少于1.4PB分布式存储软件授权，软件部分按容量进行统一授权，同时提供块、文件、对象服务，软件一次授权终身使用，快照、缓存加速池等高级功能全部免费开放，无需重复付费，不少于3年软件升级服务（提供厂商售后服务承诺函）;</w:t>
                  </w:r>
                  <w:r>
                    <w:br/>
                  </w:r>
                  <w:r>
                    <w:rPr>
                      <w:rFonts w:ascii="仿宋_GB2312" w:hAnsi="仿宋_GB2312" w:cs="仿宋_GB2312" w:eastAsia="仿宋_GB2312"/>
                      <w:sz w:val="24"/>
                      <w:color w:val="000000"/>
                    </w:rPr>
                    <w:t xml:space="preserve"> 2. 基于全对称分布式架构设计，元数据与数据共同部署在存储节点上，省去独立管理节点或索引节点，简化部署结构。元数据和数据均采用集群化部署方式，具备节点级容错能力，任一节点故障均可保障数据正常访问不受影响。</w:t>
                  </w:r>
                  <w:r>
                    <w:br/>
                  </w:r>
                  <w:r>
                    <w:rPr>
                      <w:rFonts w:ascii="仿宋_GB2312" w:hAnsi="仿宋_GB2312" w:cs="仿宋_GB2312" w:eastAsia="仿宋_GB2312"/>
                      <w:sz w:val="24"/>
                      <w:color w:val="000000"/>
                    </w:rPr>
                    <w:t xml:space="preserve"> 3. ▲支持通过私有协议被单位现有的超融合云管平面纳管，方便云上租户/用户能够通过云管平台管理分配存储资源（提供产品实现承诺声明及功能截图并加盖厂商公章）。</w:t>
                  </w:r>
                  <w:r>
                    <w:br/>
                  </w:r>
                  <w:r>
                    <w:rPr>
                      <w:rFonts w:ascii="仿宋_GB2312" w:hAnsi="仿宋_GB2312" w:cs="仿宋_GB2312" w:eastAsia="仿宋_GB2312"/>
                      <w:sz w:val="24"/>
                      <w:color w:val="000000"/>
                    </w:rPr>
                    <w:t xml:space="preserve"> 4. 在不停机情况下，既能够通过向集群中添加存储节点，也能够向节点内添加硬盘的方式，在业务不中断情况下实现灵活扩容。</w:t>
                  </w:r>
                  <w:r>
                    <w:br/>
                  </w:r>
                  <w:r>
                    <w:rPr>
                      <w:rFonts w:ascii="仿宋_GB2312" w:hAnsi="仿宋_GB2312" w:cs="仿宋_GB2312" w:eastAsia="仿宋_GB2312"/>
                      <w:sz w:val="24"/>
                      <w:color w:val="000000"/>
                    </w:rPr>
                    <w:t xml:space="preserve"> 5. 文件/对象存储无缓存盘与数据盘的配比限制，扩容时无需配置SSD做缓存盘，可单独扩容数据盘。</w:t>
                  </w:r>
                  <w:r>
                    <w:br/>
                  </w:r>
                  <w:r>
                    <w:rPr>
                      <w:rFonts w:ascii="仿宋_GB2312" w:hAnsi="仿宋_GB2312" w:cs="仿宋_GB2312" w:eastAsia="仿宋_GB2312"/>
                      <w:sz w:val="24"/>
                      <w:color w:val="000000"/>
                    </w:rPr>
                    <w:t xml:space="preserve"> 6. 平台提供Amazon S3标准接口，全面兼容S3生态体系。对象存储桶支持多版本功能，开启后桶内所有对象均以多版本形式保存；同时支持自定义策略清理多版本数据，自动删除过期版本，释放存储空间。</w:t>
                  </w:r>
                  <w:r>
                    <w:br/>
                  </w:r>
                  <w:r>
                    <w:rPr>
                      <w:rFonts w:ascii="仿宋_GB2312" w:hAnsi="仿宋_GB2312" w:cs="仿宋_GB2312" w:eastAsia="仿宋_GB2312"/>
                      <w:sz w:val="24"/>
                      <w:color w:val="000000"/>
                    </w:rPr>
                    <w:t xml:space="preserve"> 7. 支持针对对象存储用户/桶设置容量配额，限制用户/桶对容量的使用，防止个别用户/业务滥用存储空间，挤占其它用户/业务资源。</w:t>
                  </w:r>
                  <w:r>
                    <w:br/>
                  </w:r>
                  <w:r>
                    <w:rPr>
                      <w:rFonts w:ascii="仿宋_GB2312" w:hAnsi="仿宋_GB2312" w:cs="仿宋_GB2312" w:eastAsia="仿宋_GB2312"/>
                      <w:sz w:val="24"/>
                      <w:color w:val="000000"/>
                    </w:rPr>
                    <w:t xml:space="preserve"> 8. 支持对对象存储的用户及存储桶分别设置容量配额，通过限制其存储空间使用量，防止个别用户或业务过度占用资源，保障其他用户与业务的存储份额不受挤占。</w:t>
                  </w:r>
                  <w:r>
                    <w:br/>
                  </w:r>
                  <w:r>
                    <w:rPr>
                      <w:rFonts w:ascii="仿宋_GB2312" w:hAnsi="仿宋_GB2312" w:cs="仿宋_GB2312" w:eastAsia="仿宋_GB2312"/>
                      <w:sz w:val="24"/>
                      <w:color w:val="000000"/>
                    </w:rPr>
                    <w:t xml:space="preserve"> 9. ▲支持同时提供NFS、CIFS、FTP、HDFS四种存储接口，无须在应用层安装插件，减少业务系统改造成本，满足不同应用系统对存储接口的要求。通过不同原生存储接口（NFS、CIFS、FTP）均可访问相同的文件数据，实现跨协议和接口的文件数据共享。（提供产品功能截图并加盖厂商公章）。</w:t>
                  </w:r>
                  <w:r>
                    <w:br/>
                  </w:r>
                  <w:r>
                    <w:rPr>
                      <w:rFonts w:ascii="仿宋_GB2312" w:hAnsi="仿宋_GB2312" w:cs="仿宋_GB2312" w:eastAsia="仿宋_GB2312"/>
                      <w:sz w:val="24"/>
                      <w:color w:val="000000"/>
                    </w:rPr>
                    <w:t xml:space="preserve"> 10. 平台提供统一的全局命名空间，将系统内所有节点的存储资源整合为单一超大容量文件存储空间，实现资源完全共享，避免存储空间因预先划分而产生浪费；文件系统内的任意数据均可通过任意节点进行读写访问。</w:t>
                  </w:r>
                  <w:r>
                    <w:br/>
                  </w:r>
                  <w:r>
                    <w:rPr>
                      <w:rFonts w:ascii="仿宋_GB2312" w:hAnsi="仿宋_GB2312" w:cs="仿宋_GB2312" w:eastAsia="仿宋_GB2312"/>
                      <w:sz w:val="24"/>
                      <w:color w:val="000000"/>
                    </w:rPr>
                    <w:t xml:space="preserve"> 11. ▲配置对任意目录层级打快照的功能，并支持对目录以及该目录下的子目录同时打快照，定时快照间隔最短支持15分钟，支持快照数≥20000个。支持快照重命名功能，支持快照点任意文件数据恢复（提供产品功能截图并加盖厂商公章）</w:t>
                  </w:r>
                  <w:r>
                    <w:br/>
                  </w:r>
                  <w:r>
                    <w:rPr>
                      <w:rFonts w:ascii="仿宋_GB2312" w:hAnsi="仿宋_GB2312" w:cs="仿宋_GB2312" w:eastAsia="仿宋_GB2312"/>
                      <w:sz w:val="24"/>
                      <w:color w:val="000000"/>
                    </w:rPr>
                    <w:t xml:space="preserve"> 12. 为降低数据长期保存成本，文件存储应提供数据缩减的能力，支持以文件目录为单位配置数据压缩策略，可选择节省容量优先和性能优先两种策略，并支持查看计算压缩的数据量。</w:t>
                  </w:r>
                  <w:r>
                    <w:br/>
                  </w:r>
                  <w:r>
                    <w:rPr>
                      <w:rFonts w:ascii="仿宋_GB2312" w:hAnsi="仿宋_GB2312" w:cs="仿宋_GB2312" w:eastAsia="仿宋_GB2312"/>
                      <w:sz w:val="24"/>
                      <w:color w:val="000000"/>
                    </w:rPr>
                    <w:t xml:space="preserve"> 13. ▲支持对数据预读功能，将热点数据预读至缓存层，从而提升读性能（提供相关证明材料并加盖厂商公章）。</w:t>
                  </w:r>
                  <w:r>
                    <w:br/>
                  </w:r>
                  <w:r>
                    <w:rPr>
                      <w:rFonts w:ascii="仿宋_GB2312" w:hAnsi="仿宋_GB2312" w:cs="仿宋_GB2312" w:eastAsia="仿宋_GB2312"/>
                      <w:sz w:val="24"/>
                    </w:rPr>
                    <w:t xml:space="preserve">14. </w:t>
                  </w:r>
                  <w:r>
                    <w:rPr>
                      <w:rFonts w:ascii="仿宋_GB2312" w:hAnsi="仿宋_GB2312" w:cs="仿宋_GB2312" w:eastAsia="仿宋_GB2312"/>
                      <w:sz w:val="24"/>
                    </w:rPr>
                    <w:t>▲为使得所投产品在高并发场景下能发挥出更高性能，支持将某一目录下所有的元数据访问请求均衡打散到集群内多个节点的多个元数据服务MDS中,提供相关证明材料，包括但不限于加盖厂商公章的CMA检测报告或产品功能截图等。</w:t>
                  </w:r>
                  <w:r>
                    <w:br/>
                  </w:r>
                  <w:r>
                    <w:rPr>
                      <w:rFonts w:ascii="仿宋_GB2312" w:hAnsi="仿宋_GB2312" w:cs="仿宋_GB2312" w:eastAsia="仿宋_GB2312"/>
                      <w:sz w:val="24"/>
                      <w:color w:val="000000"/>
                    </w:rPr>
                    <w:t xml:space="preserve"> 15. </w:t>
                  </w:r>
                  <w:r>
                    <w:rPr>
                      <w:rFonts w:ascii="仿宋_GB2312" w:hAnsi="仿宋_GB2312" w:cs="仿宋_GB2312" w:eastAsia="仿宋_GB2312"/>
                      <w:sz w:val="24"/>
                      <w:color w:val="000000"/>
                    </w:rPr>
                    <w:t>▲为解决NFS单链路性能瓶颈问题，需支持NFS多路径功能，在主机侧和存储侧实现多条链路访问通道，以大幅提升单客户端场景下的访问性能（提供产品功能截图并加盖厂商公章）。</w:t>
                  </w:r>
                  <w:r>
                    <w:br/>
                  </w:r>
                  <w:r>
                    <w:rPr>
                      <w:rFonts w:ascii="仿宋_GB2312" w:hAnsi="仿宋_GB2312" w:cs="仿宋_GB2312" w:eastAsia="仿宋_GB2312"/>
                      <w:sz w:val="24"/>
                      <w:color w:val="000000"/>
                    </w:rPr>
                    <w:t xml:space="preserve"> 16. 块存储策略，支持以LUN为粒度配置副本数、分层QOS、条带数等存储策略，以实现在性能、成本，可靠性等指标上的平衡兼顾。</w:t>
                  </w:r>
                  <w:r>
                    <w:br/>
                  </w:r>
                  <w:r>
                    <w:rPr>
                      <w:rFonts w:ascii="仿宋_GB2312" w:hAnsi="仿宋_GB2312" w:cs="仿宋_GB2312" w:eastAsia="仿宋_GB2312"/>
                      <w:sz w:val="24"/>
                      <w:color w:val="000000"/>
                    </w:rPr>
                    <w:t xml:space="preserve"> 17. ▲基于业务安全考虑，为避免产生额外的经济损失，存储产品应具备勒索病毒的防护能力，内置免费病毒防护引擎，支持中毒前的勒索病毒防护、中毒时（或检测为疑似勒索病毒时）自动打快照、中毒后进行文件的安全恢复，能有效抵御勒索病毒。（提供产品功能截图并加盖厂商公章）</w:t>
                  </w:r>
                  <w:r>
                    <w:br/>
                  </w:r>
                  <w:r>
                    <w:rPr>
                      <w:rFonts w:ascii="仿宋_GB2312" w:hAnsi="仿宋_GB2312" w:cs="仿宋_GB2312" w:eastAsia="仿宋_GB2312"/>
                      <w:sz w:val="24"/>
                      <w:color w:val="000000"/>
                    </w:rPr>
                    <w:t xml:space="preserve"> 18. 支持高性能的NVMe SSD和低时延RDMA网络提升存储的吞吐带宽，NVMe SSD做高性能分层，提升整体存储性能，冷数据则自动回刷至大容量HDD存储层。</w:t>
                  </w:r>
                  <w:r>
                    <w:br/>
                  </w:r>
                  <w:r>
                    <w:rPr>
                      <w:rFonts w:ascii="仿宋_GB2312" w:hAnsi="仿宋_GB2312" w:cs="仿宋_GB2312" w:eastAsia="仿宋_GB2312"/>
                      <w:sz w:val="24"/>
                      <w:color w:val="000000"/>
                    </w:rPr>
                    <w:t xml:space="preserve"> 19. ▲为保证系统稳定性，本次采购不接受国外开源软件（如Ceph、GFS 等）的调优产品，原厂商无任何采用开源软件调优的公开报道。提供存储系统远行时执行“ceph-”、“ceph osd stat” 等命令的执行结果截图证明，或者权威第三方机构的代码自主率检测报告，代码自主率高于 85%。（提供相关证明材料并加盖厂商公章）</w:t>
                  </w:r>
                </w:p>
              </w:tc>
              <w:tc>
                <w:tcPr>
                  <w:tcW w:type="dxa" w:w="118"/>
                  <w:tcBorders>
                    <w:top w:val="none" w:color="000000" w:sz="4"/>
                    <w:left w:val="none" w:color="000000" w:sz="4"/>
                    <w:bottom w:val="single" w:color="000000" w:sz="4"/>
                    <w:right w:val="single" w:color="000000" w:sz="4"/>
                  </w:tcBorders>
                  <w:shd w:fill="DDEBF7"/>
                  <w:tcMar>
                    <w:top w:type="dxa" w:w="0"/>
                    <w:left w:type="dxa" w:w="105"/>
                    <w:bottom w:type="dxa" w:w="0"/>
                    <w:right w:type="dxa" w:w="105"/>
                  </w:tcMar>
                </w:tcPr>
                <w:p>
                  <w:pPr>
                    <w:pStyle w:val="null3"/>
                    <w:jc w:val="center"/>
                  </w:pPr>
                  <w:r>
                    <w:rPr>
                      <w:rFonts w:ascii="仿宋_GB2312" w:hAnsi="仿宋_GB2312" w:cs="仿宋_GB2312" w:eastAsia="仿宋_GB2312"/>
                      <w:sz w:val="24"/>
                      <w:color w:val="333333"/>
                    </w:rPr>
                    <w:t>套</w:t>
                  </w:r>
                </w:p>
              </w:tc>
              <w:tc>
                <w:tcPr>
                  <w:tcW w:type="dxa" w:w="94"/>
                  <w:tcBorders>
                    <w:top w:val="none" w:color="000000" w:sz="4"/>
                    <w:left w:val="none" w:color="000000" w:sz="4"/>
                    <w:bottom w:val="single" w:color="000000" w:sz="4"/>
                    <w:right w:val="single" w:color="000000" w:sz="4"/>
                  </w:tcBorders>
                  <w:shd w:fill="DDEBF7"/>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173"/>
                  <w:tcBorders>
                    <w:top w:val="none" w:color="000000" w:sz="4"/>
                    <w:left w:val="single" w:color="000000" w:sz="4"/>
                    <w:bottom w:val="single" w:color="000000" w:sz="4"/>
                    <w:right w:val="single" w:color="000000" w:sz="4"/>
                  </w:tcBorders>
                  <w:shd w:fill="DDEBF7"/>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w:t>
                  </w:r>
                </w:p>
              </w:tc>
              <w:tc>
                <w:tcPr>
                  <w:tcW w:type="dxa" w:w="351"/>
                  <w:tcBorders>
                    <w:top w:val="none" w:color="000000" w:sz="4"/>
                    <w:left w:val="none" w:color="000000" w:sz="4"/>
                    <w:bottom w:val="single" w:color="000000" w:sz="4"/>
                    <w:right w:val="single" w:color="000000" w:sz="4"/>
                  </w:tcBorders>
                  <w:shd w:fill="DDEBF7"/>
                  <w:tcMar>
                    <w:top w:type="dxa" w:w="0"/>
                    <w:left w:type="dxa" w:w="105"/>
                    <w:bottom w:type="dxa" w:w="0"/>
                    <w:right w:type="dxa" w:w="105"/>
                  </w:tcMar>
                </w:tcPr>
                <w:p>
                  <w:pPr>
                    <w:pStyle w:val="null3"/>
                    <w:jc w:val="left"/>
                  </w:pPr>
                  <w:r>
                    <w:rPr>
                      <w:rFonts w:ascii="仿宋_GB2312" w:hAnsi="仿宋_GB2312" w:cs="仿宋_GB2312" w:eastAsia="仿宋_GB2312"/>
                      <w:sz w:val="24"/>
                      <w:color w:val="333333"/>
                    </w:rPr>
                    <w:t>交换机（配置一）</w:t>
                  </w:r>
                </w:p>
              </w:tc>
              <w:tc>
                <w:tcPr>
                  <w:tcW w:type="dxa" w:w="1750"/>
                  <w:tcBorders>
                    <w:top w:val="none" w:color="000000" w:sz="4"/>
                    <w:left w:val="none" w:color="000000" w:sz="4"/>
                    <w:bottom w:val="single" w:color="000000" w:sz="4"/>
                    <w:right w:val="single" w:color="000000" w:sz="4"/>
                  </w:tcBorders>
                  <w:shd w:fill="DDEBF7"/>
                  <w:tcMar>
                    <w:top w:type="dxa" w:w="0"/>
                    <w:left w:type="dxa" w:w="105"/>
                    <w:bottom w:type="dxa" w:w="0"/>
                    <w:right w:type="dxa" w:w="105"/>
                  </w:tcMar>
                </w:tcPr>
                <w:p>
                  <w:pPr>
                    <w:pStyle w:val="null3"/>
                    <w:jc w:val="left"/>
                  </w:pPr>
                  <w:r>
                    <w:rPr>
                      <w:rFonts w:ascii="仿宋_GB2312" w:hAnsi="仿宋_GB2312" w:cs="仿宋_GB2312" w:eastAsia="仿宋_GB2312"/>
                      <w:sz w:val="24"/>
                      <w:color w:val="000000"/>
                    </w:rPr>
                    <w:t>1. 25G</w:t>
                  </w:r>
                  <w:r>
                    <w:rPr>
                      <w:rFonts w:ascii="仿宋_GB2312" w:hAnsi="仿宋_GB2312" w:cs="仿宋_GB2312" w:eastAsia="仿宋_GB2312"/>
                      <w:sz w:val="24"/>
                      <w:color w:val="000000"/>
                    </w:rPr>
                    <w:t>交换机。</w:t>
                  </w:r>
                  <w:r>
                    <w:br/>
                  </w:r>
                  <w:r>
                    <w:rPr>
                      <w:rFonts w:ascii="仿宋_GB2312" w:hAnsi="仿宋_GB2312" w:cs="仿宋_GB2312" w:eastAsia="仿宋_GB2312"/>
                      <w:sz w:val="24"/>
                      <w:color w:val="000000"/>
                    </w:rPr>
                    <w:t xml:space="preserve"> 2. ≥48个25G SFP28光口，≥8个40GE/100GE QSFP28光口。</w:t>
                  </w:r>
                  <w:r>
                    <w:br/>
                  </w:r>
                  <w:r>
                    <w:rPr>
                      <w:rFonts w:ascii="仿宋_GB2312" w:hAnsi="仿宋_GB2312" w:cs="仿宋_GB2312" w:eastAsia="仿宋_GB2312"/>
                      <w:sz w:val="24"/>
                      <w:color w:val="000000"/>
                    </w:rPr>
                    <w:t xml:space="preserve"> 3. 交换容量≥8T/128T，包转发率≥3000Mpps；支持全端口线速转发；</w:t>
                  </w:r>
                  <w:r>
                    <w:br/>
                  </w:r>
                  <w:r>
                    <w:rPr>
                      <w:rFonts w:ascii="仿宋_GB2312" w:hAnsi="仿宋_GB2312" w:cs="仿宋_GB2312" w:eastAsia="仿宋_GB2312"/>
                      <w:sz w:val="24"/>
                      <w:color w:val="000000"/>
                    </w:rPr>
                    <w:t xml:space="preserve"> 4. 支持双电源模块，默认含2个交流电源。默认支持ECN/PFC功能，可适配RDMA应用。</w:t>
                  </w:r>
                  <w:r>
                    <w:br/>
                  </w:r>
                  <w:r>
                    <w:rPr>
                      <w:rFonts w:ascii="仿宋_GB2312" w:hAnsi="仿宋_GB2312" w:cs="仿宋_GB2312" w:eastAsia="仿宋_GB2312"/>
                      <w:sz w:val="24"/>
                      <w:color w:val="000000"/>
                    </w:rPr>
                    <w:t xml:space="preserve"> 5. 单台配置≥8个* 25G万兆多模-850-100m-双纤;</w:t>
                  </w:r>
                  <w:r>
                    <w:br/>
                  </w:r>
                  <w:r>
                    <w:rPr>
                      <w:rFonts w:ascii="仿宋_GB2312" w:hAnsi="仿宋_GB2312" w:cs="仿宋_GB2312" w:eastAsia="仿宋_GB2312"/>
                      <w:sz w:val="24"/>
                      <w:color w:val="000000"/>
                    </w:rPr>
                    <w:t xml:space="preserve"> 6. 3年原厂产品软件升级;</w:t>
                  </w:r>
                </w:p>
              </w:tc>
              <w:tc>
                <w:tcPr>
                  <w:tcW w:type="dxa" w:w="118"/>
                  <w:tcBorders>
                    <w:top w:val="none" w:color="000000" w:sz="4"/>
                    <w:left w:val="none" w:color="000000" w:sz="4"/>
                    <w:bottom w:val="single" w:color="000000" w:sz="4"/>
                    <w:right w:val="single" w:color="000000" w:sz="4"/>
                  </w:tcBorders>
                  <w:shd w:fill="DDEBF7"/>
                  <w:tcMar>
                    <w:top w:type="dxa" w:w="0"/>
                    <w:left w:type="dxa" w:w="105"/>
                    <w:bottom w:type="dxa" w:w="0"/>
                    <w:right w:type="dxa" w:w="105"/>
                  </w:tcMar>
                </w:tcPr>
                <w:p>
                  <w:pPr>
                    <w:pStyle w:val="null3"/>
                    <w:jc w:val="center"/>
                  </w:pPr>
                  <w:r>
                    <w:rPr>
                      <w:rFonts w:ascii="仿宋_GB2312" w:hAnsi="仿宋_GB2312" w:cs="仿宋_GB2312" w:eastAsia="仿宋_GB2312"/>
                      <w:sz w:val="24"/>
                      <w:color w:val="333333"/>
                    </w:rPr>
                    <w:t>台</w:t>
                  </w:r>
                </w:p>
              </w:tc>
              <w:tc>
                <w:tcPr>
                  <w:tcW w:type="dxa" w:w="94"/>
                  <w:tcBorders>
                    <w:top w:val="none" w:color="000000" w:sz="4"/>
                    <w:left w:val="none" w:color="000000" w:sz="4"/>
                    <w:bottom w:val="single" w:color="000000" w:sz="4"/>
                    <w:right w:val="single" w:color="000000" w:sz="4"/>
                  </w:tcBorders>
                  <w:shd w:fill="DDEBF7"/>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c>
                <w:tcPr>
                  <w:tcW w:type="dxa" w:w="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173"/>
                  <w:tcBorders>
                    <w:top w:val="none" w:color="000000" w:sz="4"/>
                    <w:left w:val="single" w:color="000000" w:sz="4"/>
                    <w:bottom w:val="single" w:color="000000" w:sz="4"/>
                    <w:right w:val="single" w:color="000000" w:sz="4"/>
                  </w:tcBorders>
                  <w:shd w:fill="DDEBF7"/>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w:t>
                  </w:r>
                </w:p>
              </w:tc>
              <w:tc>
                <w:tcPr>
                  <w:tcW w:type="dxa" w:w="351"/>
                  <w:tcBorders>
                    <w:top w:val="none" w:color="000000" w:sz="4"/>
                    <w:left w:val="none" w:color="000000" w:sz="4"/>
                    <w:bottom w:val="single" w:color="000000" w:sz="4"/>
                    <w:right w:val="single" w:color="000000" w:sz="4"/>
                  </w:tcBorders>
                  <w:shd w:fill="DDEBF7"/>
                  <w:tcMar>
                    <w:top w:type="dxa" w:w="0"/>
                    <w:left w:type="dxa" w:w="105"/>
                    <w:bottom w:type="dxa" w:w="0"/>
                    <w:right w:type="dxa" w:w="105"/>
                  </w:tcMar>
                </w:tcPr>
                <w:p>
                  <w:pPr>
                    <w:pStyle w:val="null3"/>
                    <w:jc w:val="left"/>
                  </w:pPr>
                  <w:r>
                    <w:rPr>
                      <w:rFonts w:ascii="仿宋_GB2312" w:hAnsi="仿宋_GB2312" w:cs="仿宋_GB2312" w:eastAsia="仿宋_GB2312"/>
                      <w:sz w:val="24"/>
                      <w:color w:val="333333"/>
                    </w:rPr>
                    <w:t>交换机（配置二）</w:t>
                  </w:r>
                </w:p>
              </w:tc>
              <w:tc>
                <w:tcPr>
                  <w:tcW w:type="dxa" w:w="1750"/>
                  <w:tcBorders>
                    <w:top w:val="none" w:color="000000" w:sz="4"/>
                    <w:left w:val="none" w:color="000000" w:sz="4"/>
                    <w:bottom w:val="single" w:color="000000" w:sz="4"/>
                    <w:right w:val="single" w:color="000000" w:sz="4"/>
                  </w:tcBorders>
                  <w:shd w:fill="DDEBF7"/>
                  <w:tcMar>
                    <w:top w:type="dxa" w:w="0"/>
                    <w:left w:type="dxa" w:w="105"/>
                    <w:bottom w:type="dxa" w:w="0"/>
                    <w:right w:type="dxa" w:w="105"/>
                  </w:tcMar>
                </w:tcPr>
                <w:p>
                  <w:pPr>
                    <w:pStyle w:val="null3"/>
                    <w:jc w:val="left"/>
                  </w:pPr>
                  <w:r>
                    <w:rPr>
                      <w:rFonts w:ascii="仿宋_GB2312" w:hAnsi="仿宋_GB2312" w:cs="仿宋_GB2312" w:eastAsia="仿宋_GB2312"/>
                      <w:sz w:val="24"/>
                      <w:color w:val="000000"/>
                    </w:rPr>
                    <w:t xml:space="preserve">1. </w:t>
                  </w:r>
                  <w:r>
                    <w:rPr>
                      <w:rFonts w:ascii="仿宋_GB2312" w:hAnsi="仿宋_GB2312" w:cs="仿宋_GB2312" w:eastAsia="仿宋_GB2312"/>
                      <w:sz w:val="24"/>
                      <w:color w:val="000000"/>
                    </w:rPr>
                    <w:t>万兆交换机</w:t>
                  </w:r>
                  <w:r>
                    <w:br/>
                  </w:r>
                  <w:r>
                    <w:rPr>
                      <w:rFonts w:ascii="仿宋_GB2312" w:hAnsi="仿宋_GB2312" w:cs="仿宋_GB2312" w:eastAsia="仿宋_GB2312"/>
                      <w:sz w:val="24"/>
                      <w:color w:val="000000"/>
                    </w:rPr>
                    <w:t xml:space="preserve"> 2. ≥24个10G SFP+万兆光口，≥24个千兆电口，≥2个40GE QSFP+光口；</w:t>
                  </w:r>
                  <w:r>
                    <w:br/>
                  </w:r>
                  <w:r>
                    <w:rPr>
                      <w:rFonts w:ascii="仿宋_GB2312" w:hAnsi="仿宋_GB2312" w:cs="仿宋_GB2312" w:eastAsia="仿宋_GB2312"/>
                      <w:sz w:val="24"/>
                      <w:color w:val="000000"/>
                    </w:rPr>
                    <w:t xml:space="preserve"> 3. 交换容量：≥2.56Tbps/25.6Tbps，包转发率：≥1320Mpps/1680Mpps，支持全端口线速转发；</w:t>
                  </w:r>
                  <w:r>
                    <w:br/>
                  </w:r>
                  <w:r>
                    <w:rPr>
                      <w:rFonts w:ascii="仿宋_GB2312" w:hAnsi="仿宋_GB2312" w:cs="仿宋_GB2312" w:eastAsia="仿宋_GB2312"/>
                      <w:sz w:val="24"/>
                      <w:color w:val="000000"/>
                    </w:rPr>
                    <w:t xml:space="preserve"> 4. 单台配置≥10个万兆多模光模块；</w:t>
                  </w:r>
                  <w:r>
                    <w:br/>
                  </w:r>
                  <w:r>
                    <w:rPr>
                      <w:rFonts w:ascii="仿宋_GB2312" w:hAnsi="仿宋_GB2312" w:cs="仿宋_GB2312" w:eastAsia="仿宋_GB2312"/>
                      <w:sz w:val="24"/>
                      <w:color w:val="000000"/>
                    </w:rPr>
                    <w:t xml:space="preserve"> 5. 3年原厂产品软件升级;</w:t>
                  </w:r>
                </w:p>
              </w:tc>
              <w:tc>
                <w:tcPr>
                  <w:tcW w:type="dxa" w:w="118"/>
                  <w:tcBorders>
                    <w:top w:val="none" w:color="000000" w:sz="4"/>
                    <w:left w:val="none" w:color="000000" w:sz="4"/>
                    <w:bottom w:val="single" w:color="000000" w:sz="4"/>
                    <w:right w:val="single" w:color="000000" w:sz="4"/>
                  </w:tcBorders>
                  <w:shd w:fill="DDEBF7"/>
                  <w:tcMar>
                    <w:top w:type="dxa" w:w="0"/>
                    <w:left w:type="dxa" w:w="105"/>
                    <w:bottom w:type="dxa" w:w="0"/>
                    <w:right w:type="dxa" w:w="105"/>
                  </w:tcMar>
                </w:tcPr>
                <w:p>
                  <w:pPr>
                    <w:pStyle w:val="null3"/>
                    <w:jc w:val="center"/>
                  </w:pPr>
                  <w:r>
                    <w:rPr>
                      <w:rFonts w:ascii="仿宋_GB2312" w:hAnsi="仿宋_GB2312" w:cs="仿宋_GB2312" w:eastAsia="仿宋_GB2312"/>
                      <w:sz w:val="24"/>
                      <w:color w:val="333333"/>
                    </w:rPr>
                    <w:t>台</w:t>
                  </w:r>
                </w:p>
              </w:tc>
              <w:tc>
                <w:tcPr>
                  <w:tcW w:type="dxa" w:w="94"/>
                  <w:tcBorders>
                    <w:top w:val="none" w:color="000000" w:sz="4"/>
                    <w:left w:val="none" w:color="000000" w:sz="4"/>
                    <w:bottom w:val="single" w:color="000000" w:sz="4"/>
                    <w:right w:val="single" w:color="000000" w:sz="4"/>
                  </w:tcBorders>
                  <w:shd w:fill="DDEBF7"/>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w:t>
                  </w:r>
                </w:p>
              </w:tc>
              <w:tc>
                <w:tcPr>
                  <w:tcW w:type="dxa" w:w="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bl>
          <w:p>
            <w:pPr>
              <w:pStyle w:val="null3"/>
              <w:jc w:val="both"/>
            </w:pPr>
            <w:r>
              <w:rPr>
                <w:rFonts w:ascii="仿宋_GB2312" w:hAnsi="仿宋_GB2312" w:cs="仿宋_GB2312" w:eastAsia="仿宋_GB2312"/>
                <w:sz w:val="24"/>
                <w:b/>
              </w:rPr>
              <w:t>四、服务要求</w:t>
            </w:r>
          </w:p>
          <w:p>
            <w:pPr>
              <w:pStyle w:val="null3"/>
              <w:jc w:val="both"/>
            </w:pPr>
            <w:r>
              <w:rPr>
                <w:rFonts w:ascii="仿宋_GB2312" w:hAnsi="仿宋_GB2312" w:cs="仿宋_GB2312" w:eastAsia="仿宋_GB2312"/>
                <w:sz w:val="24"/>
                <w:b/>
              </w:rPr>
              <w:t>4.1</w:t>
            </w:r>
            <w:r>
              <w:rPr>
                <w:rFonts w:ascii="仿宋_GB2312" w:hAnsi="仿宋_GB2312" w:cs="仿宋_GB2312" w:eastAsia="仿宋_GB2312"/>
                <w:sz w:val="24"/>
                <w:b/>
              </w:rPr>
              <w:t>交货地点</w:t>
            </w:r>
          </w:p>
          <w:p>
            <w:pPr>
              <w:pStyle w:val="null3"/>
              <w:ind w:firstLine="480"/>
            </w:pPr>
            <w:r>
              <w:rPr>
                <w:rFonts w:ascii="仿宋_GB2312" w:hAnsi="仿宋_GB2312" w:cs="仿宋_GB2312" w:eastAsia="仿宋_GB2312"/>
                <w:sz w:val="24"/>
              </w:rPr>
              <w:t>交货地点：采购人指定地点</w:t>
            </w:r>
          </w:p>
          <w:p>
            <w:pPr>
              <w:pStyle w:val="null3"/>
              <w:jc w:val="both"/>
            </w:pPr>
            <w:r>
              <w:rPr>
                <w:rFonts w:ascii="仿宋_GB2312" w:hAnsi="仿宋_GB2312" w:cs="仿宋_GB2312" w:eastAsia="仿宋_GB2312"/>
                <w:sz w:val="24"/>
                <w:b/>
              </w:rPr>
              <w:t>4.2</w:t>
            </w:r>
            <w:r>
              <w:rPr>
                <w:rFonts w:ascii="仿宋_GB2312" w:hAnsi="仿宋_GB2312" w:cs="仿宋_GB2312" w:eastAsia="仿宋_GB2312"/>
                <w:sz w:val="24"/>
                <w:b/>
              </w:rPr>
              <w:t>服务期要求</w:t>
            </w:r>
          </w:p>
          <w:p>
            <w:pPr>
              <w:pStyle w:val="null3"/>
              <w:ind w:firstLine="480"/>
            </w:pPr>
            <w:r>
              <w:rPr>
                <w:rFonts w:ascii="仿宋_GB2312" w:hAnsi="仿宋_GB2312" w:cs="仿宋_GB2312" w:eastAsia="仿宋_GB2312"/>
                <w:sz w:val="24"/>
              </w:rPr>
              <w:t>自合同签订之日起150天</w:t>
            </w:r>
          </w:p>
          <w:p>
            <w:pPr>
              <w:pStyle w:val="null3"/>
              <w:jc w:val="both"/>
            </w:pPr>
            <w:r>
              <w:rPr>
                <w:rFonts w:ascii="仿宋_GB2312" w:hAnsi="仿宋_GB2312" w:cs="仿宋_GB2312" w:eastAsia="仿宋_GB2312"/>
                <w:sz w:val="24"/>
                <w:b/>
              </w:rPr>
              <w:t>4.3</w:t>
            </w:r>
            <w:r>
              <w:rPr>
                <w:rFonts w:ascii="仿宋_GB2312" w:hAnsi="仿宋_GB2312" w:cs="仿宋_GB2312" w:eastAsia="仿宋_GB2312"/>
                <w:sz w:val="24"/>
                <w:b/>
              </w:rPr>
              <w:t>质保要求</w:t>
            </w:r>
          </w:p>
          <w:p>
            <w:pPr>
              <w:pStyle w:val="null3"/>
              <w:ind w:firstLine="480"/>
            </w:pPr>
            <w:r>
              <w:rPr>
                <w:rFonts w:ascii="仿宋_GB2312" w:hAnsi="仿宋_GB2312" w:cs="仿宋_GB2312" w:eastAsia="仿宋_GB2312"/>
                <w:sz w:val="24"/>
              </w:rPr>
              <w:t>本项目采购的软硬件产品质保期自安装调试经验收合格之日起</w:t>
            </w:r>
            <w:r>
              <w:rPr>
                <w:rFonts w:ascii="仿宋_GB2312" w:hAnsi="仿宋_GB2312" w:cs="仿宋_GB2312" w:eastAsia="仿宋_GB2312"/>
                <w:sz w:val="24"/>
              </w:rPr>
              <w:t>3</w:t>
            </w:r>
            <w:r>
              <w:rPr>
                <w:rFonts w:ascii="仿宋_GB2312" w:hAnsi="仿宋_GB2312" w:cs="仿宋_GB2312" w:eastAsia="仿宋_GB2312"/>
                <w:sz w:val="24"/>
              </w:rPr>
              <w:t>年</w:t>
            </w:r>
            <w:r>
              <w:rPr>
                <w:rFonts w:ascii="仿宋_GB2312" w:hAnsi="仿宋_GB2312" w:cs="仿宋_GB2312" w:eastAsia="仿宋_GB2312"/>
                <w:sz w:val="24"/>
              </w:rPr>
              <w:t>。除硬件产品的其他产品质保期按照货物清单的质保期计算。</w:t>
            </w:r>
          </w:p>
          <w:p>
            <w:pPr>
              <w:pStyle w:val="null3"/>
              <w:jc w:val="both"/>
            </w:pPr>
            <w:r>
              <w:rPr>
                <w:rFonts w:ascii="仿宋_GB2312" w:hAnsi="仿宋_GB2312" w:cs="仿宋_GB2312" w:eastAsia="仿宋_GB2312"/>
                <w:sz w:val="24"/>
                <w:b/>
              </w:rPr>
              <w:t>五、售后服务要求</w:t>
            </w:r>
          </w:p>
          <w:p>
            <w:pPr>
              <w:pStyle w:val="null3"/>
              <w:ind w:firstLine="480"/>
            </w:pPr>
            <w:r>
              <w:rPr>
                <w:rFonts w:ascii="仿宋_GB2312" w:hAnsi="仿宋_GB2312" w:cs="仿宋_GB2312" w:eastAsia="仿宋_GB2312"/>
                <w:sz w:val="24"/>
              </w:rPr>
              <w:t>5.</w:t>
            </w:r>
            <w:r>
              <w:rPr>
                <w:rFonts w:ascii="仿宋_GB2312" w:hAnsi="仿宋_GB2312" w:cs="仿宋_GB2312" w:eastAsia="仿宋_GB2312"/>
                <w:sz w:val="24"/>
              </w:rPr>
              <w:t>1</w:t>
            </w:r>
            <w:r>
              <w:rPr>
                <w:rFonts w:ascii="仿宋_GB2312" w:hAnsi="仿宋_GB2312" w:cs="仿宋_GB2312" w:eastAsia="仿宋_GB2312"/>
                <w:sz w:val="24"/>
              </w:rPr>
              <w:t>供应商对所提供的设备提供免费技术咨询，供应商应设有专门的客户服务热线电话，提供每周</w:t>
            </w:r>
            <w:r>
              <w:rPr>
                <w:rFonts w:ascii="仿宋_GB2312" w:hAnsi="仿宋_GB2312" w:cs="仿宋_GB2312" w:eastAsia="仿宋_GB2312"/>
                <w:sz w:val="24"/>
              </w:rPr>
              <w:t>7</w:t>
            </w:r>
            <w:r>
              <w:rPr>
                <w:rFonts w:ascii="仿宋_GB2312" w:hAnsi="仿宋_GB2312" w:cs="仿宋_GB2312" w:eastAsia="仿宋_GB2312"/>
                <w:sz w:val="24"/>
              </w:rPr>
              <w:t>天，每天</w:t>
            </w:r>
            <w:r>
              <w:rPr>
                <w:rFonts w:ascii="仿宋_GB2312" w:hAnsi="仿宋_GB2312" w:cs="仿宋_GB2312" w:eastAsia="仿宋_GB2312"/>
                <w:sz w:val="24"/>
              </w:rPr>
              <w:t>24</w:t>
            </w:r>
            <w:r>
              <w:rPr>
                <w:rFonts w:ascii="仿宋_GB2312" w:hAnsi="仿宋_GB2312" w:cs="仿宋_GB2312" w:eastAsia="仿宋_GB2312"/>
                <w:sz w:val="24"/>
              </w:rPr>
              <w:t>小时的热线电话服务；保修期内，负责软件的故障处理、技术支撑。供应商接到故障报告后，需在合同约定时限内排除故障，如有因处理不到位而给采购人造成的损失，由供应商负责赔偿。</w:t>
            </w:r>
          </w:p>
          <w:p>
            <w:pPr>
              <w:pStyle w:val="null3"/>
              <w:ind w:firstLine="480"/>
            </w:pPr>
            <w:r>
              <w:rPr>
                <w:rFonts w:ascii="仿宋_GB2312" w:hAnsi="仿宋_GB2312" w:cs="仿宋_GB2312" w:eastAsia="仿宋_GB2312"/>
                <w:sz w:val="24"/>
              </w:rPr>
              <w:t>5.</w:t>
            </w:r>
            <w:r>
              <w:rPr>
                <w:rFonts w:ascii="仿宋_GB2312" w:hAnsi="仿宋_GB2312" w:cs="仿宋_GB2312" w:eastAsia="仿宋_GB2312"/>
                <w:sz w:val="24"/>
              </w:rPr>
              <w:t>2</w:t>
            </w:r>
            <w:r>
              <w:rPr>
                <w:rFonts w:ascii="仿宋_GB2312" w:hAnsi="仿宋_GB2312" w:cs="仿宋_GB2312" w:eastAsia="仿宋_GB2312"/>
                <w:sz w:val="24"/>
              </w:rPr>
              <w:t>供应商应向采购人提供坏件送修服务，提供</w:t>
            </w:r>
            <w:r>
              <w:rPr>
                <w:rFonts w:ascii="仿宋_GB2312" w:hAnsi="仿宋_GB2312" w:cs="仿宋_GB2312" w:eastAsia="仿宋_GB2312"/>
                <w:sz w:val="24"/>
              </w:rPr>
              <w:t>3</w:t>
            </w:r>
            <w:r>
              <w:rPr>
                <w:rFonts w:ascii="仿宋_GB2312" w:hAnsi="仿宋_GB2312" w:cs="仿宋_GB2312" w:eastAsia="仿宋_GB2312"/>
                <w:sz w:val="24"/>
              </w:rPr>
              <w:t>年原厂备件服务。</w:t>
            </w:r>
          </w:p>
          <w:p>
            <w:pPr>
              <w:pStyle w:val="null3"/>
              <w:ind w:firstLine="480"/>
            </w:pPr>
            <w:r>
              <w:rPr>
                <w:rFonts w:ascii="仿宋_GB2312" w:hAnsi="仿宋_GB2312" w:cs="仿宋_GB2312" w:eastAsia="仿宋_GB2312"/>
                <w:sz w:val="24"/>
              </w:rPr>
              <w:t>5.</w:t>
            </w:r>
            <w:r>
              <w:rPr>
                <w:rFonts w:ascii="仿宋_GB2312" w:hAnsi="仿宋_GB2312" w:cs="仿宋_GB2312" w:eastAsia="仿宋_GB2312"/>
                <w:sz w:val="24"/>
              </w:rPr>
              <w:t>3</w:t>
            </w:r>
            <w:r>
              <w:rPr>
                <w:rFonts w:ascii="仿宋_GB2312" w:hAnsi="仿宋_GB2312" w:cs="仿宋_GB2312" w:eastAsia="仿宋_GB2312"/>
                <w:sz w:val="24"/>
              </w:rPr>
              <w:t>对于因设备缺陷、软件瑕疵、补丁区满或修正软件缺陷和新功能的升级版本，供应商要免费提供新版本并免费实施升级（如需更换硬件则免费提供），包括相应的</w:t>
            </w:r>
            <w:r>
              <w:rPr>
                <w:rFonts w:ascii="仿宋_GB2312" w:hAnsi="仿宋_GB2312" w:cs="仿宋_GB2312" w:eastAsia="仿宋_GB2312"/>
                <w:sz w:val="24"/>
              </w:rPr>
              <w:t>License</w:t>
            </w:r>
            <w:r>
              <w:rPr>
                <w:rFonts w:ascii="仿宋_GB2312" w:hAnsi="仿宋_GB2312" w:cs="仿宋_GB2312" w:eastAsia="仿宋_GB2312"/>
                <w:sz w:val="24"/>
              </w:rPr>
              <w:t>的更新（指功能完善、打补丁类）。</w:t>
            </w:r>
          </w:p>
          <w:p>
            <w:pPr>
              <w:pStyle w:val="null3"/>
              <w:ind w:firstLine="480"/>
            </w:pPr>
            <w:r>
              <w:rPr>
                <w:rFonts w:ascii="仿宋_GB2312" w:hAnsi="仿宋_GB2312" w:cs="仿宋_GB2312" w:eastAsia="仿宋_GB2312"/>
                <w:sz w:val="24"/>
              </w:rPr>
              <w:t>5.</w:t>
            </w:r>
            <w:r>
              <w:rPr>
                <w:rFonts w:ascii="仿宋_GB2312" w:hAnsi="仿宋_GB2312" w:cs="仿宋_GB2312" w:eastAsia="仿宋_GB2312"/>
                <w:sz w:val="24"/>
              </w:rPr>
              <w:t>4</w:t>
            </w:r>
            <w:r>
              <w:rPr>
                <w:rFonts w:ascii="仿宋_GB2312" w:hAnsi="仿宋_GB2312" w:cs="仿宋_GB2312" w:eastAsia="仿宋_GB2312"/>
                <w:sz w:val="24"/>
              </w:rPr>
              <w:t>供应商应为采购人提供网络维护的快速响应机制。</w:t>
            </w:r>
          </w:p>
          <w:p>
            <w:pPr>
              <w:pStyle w:val="null3"/>
              <w:jc w:val="both"/>
            </w:pPr>
            <w:r>
              <w:rPr>
                <w:rFonts w:ascii="仿宋_GB2312" w:hAnsi="仿宋_GB2312" w:cs="仿宋_GB2312" w:eastAsia="仿宋_GB2312"/>
                <w:sz w:val="24"/>
                <w:b/>
              </w:rPr>
              <w:t>六、验收要求</w:t>
            </w:r>
          </w:p>
          <w:p>
            <w:pPr>
              <w:pStyle w:val="null3"/>
              <w:ind w:firstLine="480"/>
            </w:pPr>
            <w:r>
              <w:rPr>
                <w:rFonts w:ascii="仿宋_GB2312" w:hAnsi="仿宋_GB2312" w:cs="仿宋_GB2312" w:eastAsia="仿宋_GB2312"/>
                <w:sz w:val="24"/>
              </w:rPr>
              <w:t>到货验收：采购人在收到供应商提供的货物时，当场依据合同清单</w:t>
            </w:r>
            <w:r>
              <w:rPr>
                <w:rFonts w:ascii="仿宋_GB2312" w:hAnsi="仿宋_GB2312" w:cs="仿宋_GB2312" w:eastAsia="仿宋_GB2312"/>
                <w:sz w:val="24"/>
              </w:rPr>
              <w:t>,</w:t>
            </w:r>
            <w:r>
              <w:rPr>
                <w:rFonts w:ascii="仿宋_GB2312" w:hAnsi="仿宋_GB2312" w:cs="仿宋_GB2312" w:eastAsia="仿宋_GB2312"/>
                <w:sz w:val="24"/>
              </w:rPr>
              <w:t>对货物型号、数量、技术参数等进行核对，满足要求即可签收。如与合同不符采购人有权拒收，供应商需重新交货。如供应商逾期交货，应承担违约责任。</w:t>
            </w:r>
          </w:p>
          <w:p>
            <w:pPr>
              <w:pStyle w:val="null3"/>
              <w:ind w:firstLine="480"/>
            </w:pPr>
            <w:r>
              <w:rPr>
                <w:rFonts w:ascii="仿宋_GB2312" w:hAnsi="仿宋_GB2312" w:cs="仿宋_GB2312" w:eastAsia="仿宋_GB2312"/>
                <w:sz w:val="24"/>
              </w:rPr>
              <w:t>初步验收：采购人收到全部货物且设备安装调试完成后正常运行</w:t>
            </w:r>
            <w:r>
              <w:rPr>
                <w:rFonts w:ascii="仿宋_GB2312" w:hAnsi="仿宋_GB2312" w:cs="仿宋_GB2312" w:eastAsia="仿宋_GB2312"/>
                <w:sz w:val="24"/>
              </w:rPr>
              <w:t>1</w:t>
            </w:r>
            <w:r>
              <w:rPr>
                <w:rFonts w:ascii="仿宋_GB2312" w:hAnsi="仿宋_GB2312" w:cs="仿宋_GB2312" w:eastAsia="仿宋_GB2312"/>
                <w:sz w:val="24"/>
              </w:rPr>
              <w:t>个月后，由供应商向采购人提交初步验收申请，采购人组织项目初步验收，通过后出具初步 验收意见。</w:t>
            </w:r>
          </w:p>
          <w:p>
            <w:pPr>
              <w:pStyle w:val="null3"/>
              <w:ind w:firstLine="480"/>
            </w:pPr>
            <w:r>
              <w:rPr>
                <w:rFonts w:ascii="仿宋_GB2312" w:hAnsi="仿宋_GB2312" w:cs="仿宋_GB2312" w:eastAsia="仿宋_GB2312"/>
                <w:sz w:val="24"/>
              </w:rPr>
              <w:t>最终验收：采购人收到全部货物且设备安装调试完成后正常运行</w:t>
            </w:r>
            <w:r>
              <w:rPr>
                <w:rFonts w:ascii="仿宋_GB2312" w:hAnsi="仿宋_GB2312" w:cs="仿宋_GB2312" w:eastAsia="仿宋_GB2312"/>
                <w:sz w:val="24"/>
              </w:rPr>
              <w:t>2</w:t>
            </w:r>
            <w:r>
              <w:rPr>
                <w:rFonts w:ascii="仿宋_GB2312" w:hAnsi="仿宋_GB2312" w:cs="仿宋_GB2312" w:eastAsia="仿宋_GB2312"/>
                <w:sz w:val="24"/>
              </w:rPr>
              <w:t>个月后，由 供应商向采购人提交最终验收申请，采购人可组织项目最终验收，通过后出具终验意见。</w:t>
            </w:r>
          </w:p>
          <w:p>
            <w:pPr>
              <w:pStyle w:val="null3"/>
              <w:jc w:val="both"/>
            </w:pPr>
            <w:r>
              <w:rPr>
                <w:rFonts w:ascii="仿宋_GB2312" w:hAnsi="仿宋_GB2312" w:cs="仿宋_GB2312" w:eastAsia="仿宋_GB2312"/>
                <w:sz w:val="24"/>
                <w:b/>
              </w:rPr>
              <w:t>七、其他要求</w:t>
            </w:r>
          </w:p>
          <w:p>
            <w:pPr>
              <w:pStyle w:val="null3"/>
              <w:ind w:firstLine="480"/>
            </w:pPr>
            <w:r>
              <w:rPr>
                <w:rFonts w:ascii="仿宋_GB2312" w:hAnsi="仿宋_GB2312" w:cs="仿宋_GB2312" w:eastAsia="仿宋_GB2312"/>
                <w:sz w:val="24"/>
              </w:rPr>
              <w:t>所有的系统方案文档、设备使用说明书、设计方案、软件说明书、系统维护手册、运维文档、项目管理文档等与本项目有关文档的知识产权属于采购人所有。</w:t>
            </w:r>
          </w:p>
          <w:p>
            <w:pPr>
              <w:pStyle w:val="null3"/>
              <w:ind w:firstLine="480"/>
            </w:pPr>
            <w:r>
              <w:rPr>
                <w:rFonts w:ascii="仿宋_GB2312" w:hAnsi="仿宋_GB2312" w:cs="仿宋_GB2312" w:eastAsia="仿宋_GB2312"/>
                <w:sz w:val="24"/>
              </w:rPr>
              <w:t>供应商在项目建设和运维中必须遵守有关建设法律、法规的保密责任制度，必须承担保密义务，对参与本项目工作人员进行保密教育，敦促其履行保密职责。其工作人员在职和离职期间出现泄密行为，依法追究相关人员责任。</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投标人根据单位自身情况及项目实际情况自主配置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投标人根据单位自身情况及项目实际情况自主配置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投标人根据单位自身情况及项目实际情况自主配置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投标人根据单位自身情况及项目实际情况自主配置</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投标人根据单位自身情况及项目实际情况自主配置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投标人根据单位自身情况及项目实际情况自主配置</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自合同签订之日起150天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自合同签订之日起150天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满足相关行业要求，确保平台有效运行以支撑行业监管。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满足相关行业要求，确保平台有效运行以支撑行业监管。</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进度款，合同签定付，达到付款条件起7个工作日内，支付合同总金额的30.0%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进度款，硬件设备安装完成后，达到付款条件起7个工作日内，支付合同总金额的40.0%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进度款，项目完成后，达到付款条件起7个工作日内，支付合同总金额的30.0%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进度款，合同签订后支付，达到付款条件起7个工作日内，支付合同总金额的30.0%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进度款，硬件进场后支付，达到付款条件起7个工作日内，支付合同总金额的40.0%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进度款，项目完成后支付，达到付款条件起7个工作日内，支付合同总金额的25.0%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进度款，试运行6个月或者乙方提供合同价的5％的银行履约担保，甲方收到履约担保后支付，达到付款条件起7个工作日内，支付合同总金额的5.0%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参照合同执行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参照合同执行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①投标人需要在线提交所有通过电子化交易平台实施的政府采购项目的投标文件，同时，线下提交纸质投标文件壹份。 纸质投标文件应胶装，标明供应商名称密封递交。线下纸质文件递交截止时间；同在线递交电子投标文件截止时间一致: 线下纸质文件递交地点:西安市米央区文景路中段202号陕西省三门峡库区防汛调度中心11层第一会议室。 ②采用银行保函形式的投标人，投标保函必须由投标人基本开户银行出具；采用银行转账形式的投标人，投标保证金应由基本户银行转出，投标保证金应在投标截止时间前到账。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近一年度经审计的财务会计报告（含附表附注，且依据财会[2023]15号文要求，审计报告须附有可查验验证码），或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提供递交投标文件截止之日前一年内任意一个月的依法缴纳税收的相关凭据（时间以税款所属日期为准）。依法免税或无须缴纳税收的供应商，应提供相应证明文件；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提供参加政府采购活动前三年内，在经营活动中没有重大违法记录的投标响应声明书；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总监理工程师要求</w:t>
            </w:r>
          </w:p>
        </w:tc>
        <w:tc>
          <w:tcPr>
            <w:tcW w:type="dxa" w:w="3322"/>
          </w:tcPr>
          <w:p>
            <w:pPr>
              <w:pStyle w:val="null3"/>
            </w:pPr>
            <w:r>
              <w:rPr>
                <w:rFonts w:ascii="仿宋_GB2312" w:hAnsi="仿宋_GB2312" w:cs="仿宋_GB2312" w:eastAsia="仿宋_GB2312"/>
              </w:rPr>
              <w:t>总监理工程师须具有信息系统监理师或注册水利工程专业监理工程师资格证书；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单位负责人要求</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近一年度经审计的财务会计报告（含附表附注，且依据财会[2023]15号文要求，审计报告须附有可查验验证码），或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提供递交投标文件截止之日前一年内任意一个月的依法缴纳税收的相关凭据（时间以税款所属日期为准）。依法免税或无须缴纳税收的供应商，应提供相应证明文件；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提供参加政府采购活动前三年内，在经营活动中没有重大违法记录的投标响应声明书；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投标人须具有摄影测量与遥感、地理信息系统工程专业甲级测绘资质证书；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单位负责人要求</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小组认为供应商的报价明显低于其他实质性响应的供应商报价，有可能影响工程质量或者不能诚信履约的，应当要求其在合理的时间内提供书面说明，必要时提交相关证明材料；供应商不能证明其报价合理性的，评审小组应当将其作为无效响应处理。 2.供应商通过项目电子化交易系统在评审小组要求的合理时间内提交说明，否则无效。 3.依据财政部财库〔2026〕2号文件规定：（一）政府采购评审中出现下列情形之一的，评审委员会应当启动异常低价投标（响应）审查程序：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二）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投标人名称一致性</w:t>
            </w:r>
          </w:p>
        </w:tc>
        <w:tc>
          <w:tcPr>
            <w:tcW w:type="dxa" w:w="3322"/>
          </w:tcPr>
          <w:p>
            <w:pPr>
              <w:pStyle w:val="null3"/>
            </w:pPr>
            <w:r>
              <w:rPr>
                <w:rFonts w:ascii="仿宋_GB2312" w:hAnsi="仿宋_GB2312" w:cs="仿宋_GB2312" w:eastAsia="仿宋_GB2312"/>
              </w:rPr>
              <w:t>投标人名称应与有效存续的企业营业执照/事业单位法人证书/专业服务机构执业许可证/民办非企业单位登记证书一致；</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报价的符合性</w:t>
            </w:r>
          </w:p>
        </w:tc>
        <w:tc>
          <w:tcPr>
            <w:tcW w:type="dxa" w:w="3322"/>
          </w:tcPr>
          <w:p>
            <w:pPr>
              <w:pStyle w:val="null3"/>
            </w:pPr>
            <w:r>
              <w:rPr>
                <w:rFonts w:ascii="仿宋_GB2312" w:hAnsi="仿宋_GB2312" w:cs="仿宋_GB2312" w:eastAsia="仿宋_GB2312"/>
              </w:rPr>
              <w:t>只能有一个报价，且不超过采购预算（最高限价）</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服务期的符合性</w:t>
            </w:r>
          </w:p>
        </w:tc>
        <w:tc>
          <w:tcPr>
            <w:tcW w:type="dxa" w:w="3322"/>
          </w:tcPr>
          <w:p>
            <w:pPr>
              <w:pStyle w:val="null3"/>
            </w:pPr>
            <w:r>
              <w:rPr>
                <w:rFonts w:ascii="仿宋_GB2312" w:hAnsi="仿宋_GB2312" w:cs="仿宋_GB2312" w:eastAsia="仿宋_GB2312"/>
              </w:rPr>
              <w:t>服务期符合商务要求</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评审小组认为供应商的报价明显低于其他实质性响应的供应商报价，有可能影响工程质量或者不能诚信履约的，应当要求其在合理的时间内提供书面说明，必要时提交相关证明材料；供应商不能证明其报价合理性的，评审小组应当将其作为无效响应处理。 2.供应商通过项目电子化交易系统在评审小组要求的合理时间内提交说明，否则无效。 3.依据财政部财库〔2026〕2号文件规定：（一）政府采购评审中出现下列情形之一的，评审委员会应当启动异常低价投标（响应）审查程序：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二）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投标人名称一致性</w:t>
            </w:r>
          </w:p>
        </w:tc>
        <w:tc>
          <w:tcPr>
            <w:tcW w:type="dxa" w:w="3322"/>
          </w:tcPr>
          <w:p>
            <w:pPr>
              <w:pStyle w:val="null3"/>
            </w:pPr>
            <w:r>
              <w:rPr>
                <w:rFonts w:ascii="仿宋_GB2312" w:hAnsi="仿宋_GB2312" w:cs="仿宋_GB2312" w:eastAsia="仿宋_GB2312"/>
              </w:rPr>
              <w:t>投标人名称应与有效存续的企业营业执照/事业单位法人证书/专业服务机构执业许可证/民办非企业单位登记证书一致；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报价的符合性</w:t>
            </w:r>
          </w:p>
        </w:tc>
        <w:tc>
          <w:tcPr>
            <w:tcW w:type="dxa" w:w="3322"/>
          </w:tcPr>
          <w:p>
            <w:pPr>
              <w:pStyle w:val="null3"/>
            </w:pPr>
            <w:r>
              <w:rPr>
                <w:rFonts w:ascii="仿宋_GB2312" w:hAnsi="仿宋_GB2312" w:cs="仿宋_GB2312" w:eastAsia="仿宋_GB2312"/>
              </w:rPr>
              <w:t>只能有一个报价，且不超过采购预算（最高限价）</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服务期的符合性</w:t>
            </w:r>
          </w:p>
        </w:tc>
        <w:tc>
          <w:tcPr>
            <w:tcW w:type="dxa" w:w="3322"/>
          </w:tcPr>
          <w:p>
            <w:pPr>
              <w:pStyle w:val="null3"/>
            </w:pPr>
            <w:r>
              <w:rPr>
                <w:rFonts w:ascii="仿宋_GB2312" w:hAnsi="仿宋_GB2312" w:cs="仿宋_GB2312" w:eastAsia="仿宋_GB2312"/>
              </w:rPr>
              <w:t>服务期符合商务要求</w:t>
            </w:r>
          </w:p>
        </w:tc>
        <w:tc>
          <w:tcPr>
            <w:tcW w:type="dxa" w:w="1661"/>
          </w:tcPr>
          <w:p>
            <w:pPr>
              <w:pStyle w:val="null3"/>
            </w:pPr>
            <w:r>
              <w:rPr>
                <w:rFonts w:ascii="仿宋_GB2312" w:hAnsi="仿宋_GB2312" w:cs="仿宋_GB2312" w:eastAsia="仿宋_GB2312"/>
              </w:rPr>
              <w:t>开标一览表 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参数需求</w:t>
            </w:r>
          </w:p>
        </w:tc>
        <w:tc>
          <w:tcPr>
            <w:tcW w:type="dxa" w:w="3322"/>
          </w:tcPr>
          <w:p>
            <w:pPr>
              <w:pStyle w:val="null3"/>
            </w:pPr>
            <w:r>
              <w:rPr>
                <w:rFonts w:ascii="仿宋_GB2312" w:hAnsi="仿宋_GB2312" w:cs="仿宋_GB2312" w:eastAsia="仿宋_GB2312"/>
              </w:rPr>
              <w:t>带“★”的参数需求为实质性要求，供应商须响应并满足要求。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投标保证金的符合性</w:t>
            </w:r>
          </w:p>
        </w:tc>
        <w:tc>
          <w:tcPr>
            <w:tcW w:type="dxa" w:w="1661"/>
          </w:tcPr>
          <w:p>
            <w:pPr>
              <w:pStyle w:val="null3"/>
            </w:pPr>
            <w:r>
              <w:rPr>
                <w:rFonts w:ascii="仿宋_GB2312" w:hAnsi="仿宋_GB2312" w:cs="仿宋_GB2312" w:eastAsia="仿宋_GB2312"/>
              </w:rPr>
              <w:t>投标保证金.docx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对本项目工作的理解与认识</w:t>
            </w:r>
          </w:p>
        </w:tc>
        <w:tc>
          <w:tcPr>
            <w:tcW w:type="dxa" w:w="2492"/>
          </w:tcPr>
          <w:p>
            <w:pPr>
              <w:pStyle w:val="null3"/>
            </w:pPr>
            <w:r>
              <w:rPr>
                <w:rFonts w:ascii="仿宋_GB2312" w:hAnsi="仿宋_GB2312" w:cs="仿宋_GB2312" w:eastAsia="仿宋_GB2312"/>
              </w:rPr>
              <w:t>一、评审内容 供应商针对本项目工作的理解与认识，内容包含： 对项目监理范围、监理内容、监理任务、监理工作目标、主要技术依据文件、技术指标要求、成果规格要求的认识与理解。 二、评审标准 1、完整性：理解必须全面，对评审内容中的各项要求有详细描述； 2、可实施性：切合本项目实际情况，提出步骤清晰、合理的方案； 3、针对性：措施能够紧扣项目实际情况，内容科学合理。 三、赋分标准 以上评审内容，完全满足得14分，每有一子项有缺陷或不完全满足扣0.5分，不得负分，缺项不得分。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监理大纲.docx</w:t>
            </w:r>
          </w:p>
        </w:tc>
      </w:tr>
      <w:tr>
        <w:tc>
          <w:tcPr>
            <w:tcW w:type="dxa" w:w="831"/>
            <w:vMerge/>
          </w:tcPr>
          <w:p/>
        </w:tc>
        <w:tc>
          <w:tcPr>
            <w:tcW w:type="dxa" w:w="1661"/>
          </w:tcPr>
          <w:p>
            <w:pPr>
              <w:pStyle w:val="null3"/>
            </w:pPr>
            <w:r>
              <w:rPr>
                <w:rFonts w:ascii="仿宋_GB2312" w:hAnsi="仿宋_GB2312" w:cs="仿宋_GB2312" w:eastAsia="仿宋_GB2312"/>
              </w:rPr>
              <w:t>监理工作方案</w:t>
            </w:r>
          </w:p>
        </w:tc>
        <w:tc>
          <w:tcPr>
            <w:tcW w:type="dxa" w:w="2492"/>
          </w:tcPr>
          <w:p>
            <w:pPr>
              <w:pStyle w:val="null3"/>
            </w:pPr>
            <w:r>
              <w:rPr>
                <w:rFonts w:ascii="仿宋_GB2312" w:hAnsi="仿宋_GB2312" w:cs="仿宋_GB2312" w:eastAsia="仿宋_GB2312"/>
              </w:rPr>
              <w:t>一、评审内容 供应商针对监理工作方案，内容应包含： 监理工作程序、方法和制度；质量、进度、造价、安全、环保监理措施；合同、信息管理方案；监理组织协调内容及措施；监理工作重点、难点分析。 二、评审标准 1、完整性：方案必须全面，对评审内容中的各项要求有详细描述； 2、可实施性：切合本项目实际情况，提出步骤清晰、合理的方案； 3、针对性：方案能够紧扣项目实际情况，内容科学合理。 三、赋分标准 以上评审内容，完全满足得20分，每一子项有缺陷或不完全满足扣0.5分，不得负分，缺项不得分。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监理大纲.docx</w:t>
            </w:r>
          </w:p>
        </w:tc>
      </w:tr>
      <w:tr>
        <w:tc>
          <w:tcPr>
            <w:tcW w:type="dxa" w:w="831"/>
            <w:vMerge/>
          </w:tcPr>
          <w:p/>
        </w:tc>
        <w:tc>
          <w:tcPr>
            <w:tcW w:type="dxa" w:w="1661"/>
          </w:tcPr>
          <w:p>
            <w:pPr>
              <w:pStyle w:val="null3"/>
            </w:pPr>
            <w:r>
              <w:rPr>
                <w:rFonts w:ascii="仿宋_GB2312" w:hAnsi="仿宋_GB2312" w:cs="仿宋_GB2312" w:eastAsia="仿宋_GB2312"/>
              </w:rPr>
              <w:t>质量、安全、保密控制保障方案</w:t>
            </w:r>
          </w:p>
        </w:tc>
        <w:tc>
          <w:tcPr>
            <w:tcW w:type="dxa" w:w="2492"/>
          </w:tcPr>
          <w:p>
            <w:pPr>
              <w:pStyle w:val="null3"/>
            </w:pPr>
            <w:r>
              <w:rPr>
                <w:rFonts w:ascii="仿宋_GB2312" w:hAnsi="仿宋_GB2312" w:cs="仿宋_GB2312" w:eastAsia="仿宋_GB2312"/>
              </w:rPr>
              <w:t>一、评审内容 供应商针对本项目质量、安全、保密控制保障方案，内容包含： ①质量控制环节；质量检查方法；质量检查元素；质量控制技术及保障措施。 ②项目可能涉及的安全风险评估、安全管理制度、安全保障措施。 ③项目可能涉及的泄密风险元素评估、保密管理制度、保密保障措施。 二、评审标准 1、完整性：报告必须全面，对评审内容中的各项要求有详细描述； 2、可实施性：切合本项目实际情况，提出步骤清晰、合理的方案； 3、针对性：方案能够紧扣项目实际情况，内容科学合理； 三、赋分标准 以上评审内容，满足一项得2分，每有一子项有缺陷或不完全满足扣0.5分，不得负分，缺项不得分。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监理大纲.docx</w:t>
            </w:r>
          </w:p>
        </w:tc>
      </w:tr>
      <w:tr>
        <w:tc>
          <w:tcPr>
            <w:tcW w:type="dxa" w:w="831"/>
            <w:vMerge/>
          </w:tcPr>
          <w:p/>
        </w:tc>
        <w:tc>
          <w:tcPr>
            <w:tcW w:type="dxa" w:w="1661"/>
          </w:tcPr>
          <w:p>
            <w:pPr>
              <w:pStyle w:val="null3"/>
            </w:pPr>
            <w:r>
              <w:rPr>
                <w:rFonts w:ascii="仿宋_GB2312" w:hAnsi="仿宋_GB2312" w:cs="仿宋_GB2312" w:eastAsia="仿宋_GB2312"/>
              </w:rPr>
              <w:t>组织机构</w:t>
            </w:r>
          </w:p>
        </w:tc>
        <w:tc>
          <w:tcPr>
            <w:tcW w:type="dxa" w:w="2492"/>
          </w:tcPr>
          <w:p>
            <w:pPr>
              <w:pStyle w:val="null3"/>
            </w:pPr>
            <w:r>
              <w:rPr>
                <w:rFonts w:ascii="仿宋_GB2312" w:hAnsi="仿宋_GB2312" w:cs="仿宋_GB2312" w:eastAsia="仿宋_GB2312"/>
              </w:rPr>
              <w:t>一、评审内容 供应商针对本项目组织机构，内容包含： ①管理机构配备计划；（专业配备、专业分工、配置的设施设备等） ②组织机构岗位职责。（总监理工程师、专业监理工程师、监理员 等岗位职责） 二、评审标准 1、完整性：方案必须全面，对评审内容中的各项要求有详细描述； 2、可实施性：切合本项目实际情况，提出步骤清晰、合理的方案； 3、针对性：方案能够紧扣项目实际情况，内容科学合理； 4、其他：组织机构成员专业、高效。 三、赋分标准 以上评审内容，满足一项得4分，每有一子项有缺陷或不完全满足扣1分，不得负分，缺项不得分。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项目团队.docx</w:t>
            </w:r>
          </w:p>
        </w:tc>
      </w:tr>
      <w:tr>
        <w:tc>
          <w:tcPr>
            <w:tcW w:type="dxa" w:w="831"/>
            <w:vMerge/>
          </w:tcPr>
          <w:p/>
        </w:tc>
        <w:tc>
          <w:tcPr>
            <w:tcW w:type="dxa" w:w="1661"/>
          </w:tcPr>
          <w:p>
            <w:pPr>
              <w:pStyle w:val="null3"/>
            </w:pPr>
            <w:r>
              <w:rPr>
                <w:rFonts w:ascii="仿宋_GB2312" w:hAnsi="仿宋_GB2312" w:cs="仿宋_GB2312" w:eastAsia="仿宋_GB2312"/>
              </w:rPr>
              <w:t>总监理工程师</w:t>
            </w:r>
          </w:p>
        </w:tc>
        <w:tc>
          <w:tcPr>
            <w:tcW w:type="dxa" w:w="2492"/>
          </w:tcPr>
          <w:p>
            <w:pPr>
              <w:pStyle w:val="null3"/>
            </w:pPr>
            <w:r>
              <w:rPr>
                <w:rFonts w:ascii="仿宋_GB2312" w:hAnsi="仿宋_GB2312" w:cs="仿宋_GB2312" w:eastAsia="仿宋_GB2312"/>
              </w:rPr>
              <w:t>（1）总监理工程师具有水利类或信息化类本科或以上学历，得3分；否则不得分； （2）总监理工程师职称为水利相关或信息化相关专业高级或以上职称得4分，中级职称得2分，否则不得分； （3）总监理工程师主持过类似项目经验每有一项得1分，最高得3分。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总监理工程师简况表.docx</w:t>
            </w:r>
          </w:p>
        </w:tc>
      </w:tr>
      <w:tr>
        <w:tc>
          <w:tcPr>
            <w:tcW w:type="dxa" w:w="831"/>
            <w:vMerge/>
          </w:tcPr>
          <w:p/>
        </w:tc>
        <w:tc>
          <w:tcPr>
            <w:tcW w:type="dxa" w:w="1661"/>
          </w:tcPr>
          <w:p>
            <w:pPr>
              <w:pStyle w:val="null3"/>
            </w:pPr>
            <w:r>
              <w:rPr>
                <w:rFonts w:ascii="仿宋_GB2312" w:hAnsi="仿宋_GB2312" w:cs="仿宋_GB2312" w:eastAsia="仿宋_GB2312"/>
              </w:rPr>
              <w:t>其他监理人员</w:t>
            </w:r>
          </w:p>
        </w:tc>
        <w:tc>
          <w:tcPr>
            <w:tcW w:type="dxa" w:w="2492"/>
          </w:tcPr>
          <w:p>
            <w:pPr>
              <w:pStyle w:val="null3"/>
            </w:pPr>
            <w:r>
              <w:rPr>
                <w:rFonts w:ascii="仿宋_GB2312" w:hAnsi="仿宋_GB2312" w:cs="仿宋_GB2312" w:eastAsia="仿宋_GB2312"/>
              </w:rPr>
              <w:t>（1）其他监理人员具有水利相关或信息化相关专业高级或以上职称每1人得2分，中级职称每一人得1分，其余不得分，最高得6分。 （2）其他监理人员具有信息系统监理师或注册水利工程监理工程师资格证书，每一人得1分，最高得6分。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近三年承担过类似项目监理工作，有一项得2分，最多不超过10分。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供应商具备的资质能力</w:t>
            </w:r>
          </w:p>
        </w:tc>
        <w:tc>
          <w:tcPr>
            <w:tcW w:type="dxa" w:w="2492"/>
          </w:tcPr>
          <w:p>
            <w:pPr>
              <w:pStyle w:val="null3"/>
            </w:pPr>
            <w:r>
              <w:rPr>
                <w:rFonts w:ascii="仿宋_GB2312" w:hAnsi="仿宋_GB2312" w:cs="仿宋_GB2312" w:eastAsia="仿宋_GB2312"/>
              </w:rPr>
              <w:t>供应商具备水利工程施工监理甲级资质得5分，水利工程施工监理乙级资质得2分，其余不得分。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监理报价计算表.docx</w:t>
            </w:r>
          </w:p>
          <w:p>
            <w:pPr>
              <w:pStyle w:val="null3"/>
            </w:pPr>
            <w:r>
              <w:rPr>
                <w:rFonts w:ascii="仿宋_GB2312" w:hAnsi="仿宋_GB2312" w:cs="仿宋_GB2312" w:eastAsia="仿宋_GB2312"/>
              </w:rPr>
              <w:t>监理大纲.docx</w:t>
            </w:r>
          </w:p>
          <w:p>
            <w:pPr>
              <w:pStyle w:val="null3"/>
            </w:pPr>
            <w:r>
              <w:rPr>
                <w:rFonts w:ascii="仿宋_GB2312" w:hAnsi="仿宋_GB2312" w:cs="仿宋_GB2312" w:eastAsia="仿宋_GB2312"/>
              </w:rPr>
              <w:t>授权委托书.docx</w:t>
            </w:r>
          </w:p>
          <w:p>
            <w:pPr>
              <w:pStyle w:val="null3"/>
            </w:pPr>
            <w:r>
              <w:rPr>
                <w:rFonts w:ascii="仿宋_GB2312" w:hAnsi="仿宋_GB2312" w:cs="仿宋_GB2312" w:eastAsia="仿宋_GB2312"/>
              </w:rPr>
              <w:t>项目团队.docx</w:t>
            </w:r>
          </w:p>
          <w:p>
            <w:pPr>
              <w:pStyle w:val="null3"/>
            </w:pPr>
            <w:r>
              <w:rPr>
                <w:rFonts w:ascii="仿宋_GB2312" w:hAnsi="仿宋_GB2312" w:cs="仿宋_GB2312" w:eastAsia="仿宋_GB2312"/>
              </w:rPr>
              <w:t>总监理工程师简况表.docx</w:t>
            </w:r>
          </w:p>
          <w:p>
            <w:pPr>
              <w:pStyle w:val="null3"/>
            </w:pPr>
            <w:r>
              <w:rPr>
                <w:rFonts w:ascii="仿宋_GB2312" w:hAnsi="仿宋_GB2312" w:cs="仿宋_GB2312" w:eastAsia="仿宋_GB2312"/>
              </w:rPr>
              <w:t>资格证明材料.docx</w:t>
            </w:r>
          </w:p>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拒绝商业贿赂承诺书.docx</w:t>
            </w:r>
          </w:p>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合格供应商的有效报价得分=（评标基准价/响应报价）×价格权值×100（评标基准价=满足文件要求且价格最低的供应商报价）</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详细评审86.00分</w:t>
            </w:r>
          </w:p>
          <w:p>
            <w:pPr>
              <w:pStyle w:val="null3"/>
            </w:pPr>
            <w:r>
              <w:rPr>
                <w:rFonts w:ascii="仿宋_GB2312" w:hAnsi="仿宋_GB2312" w:cs="仿宋_GB2312" w:eastAsia="仿宋_GB2312"/>
              </w:rPr>
              <w:t>报价得分14.00分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一、评审内容 供应商针对工作方案，内容应包含： ①机房改造方案；②网络环境建设技术方案；③超融合平台及存储系统建设技术方案；④遥感应用系统开发技术方案。 二、评审标准 1、完整性：方案必须全面，对评审内容中的各项要求有详细描述； 2、可实施性：切合本项目实际情况，提出步骤清晰、合理的方案； 3、针对性：方案能够紧扣项目实际情况，内容科学合理。 三、赋分标准 以上四项评审内容，满足一项得4分，每一子项有缺陷或不完全满足扣0.5分，不得负分，缺项不得分。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供应商针对实施方案，内容应包含： ①具体的供货组织安排、详细的人员、调配、运输、派送措施及设备到货后验收、实施进度及保证措施设备安装； ②人员组成及人员调配、安装调试等。 二、评审标准 1、完整性：方案必须全面，对评审内容中的各项要求有详细描述； 2、可实施性：切合本项目实际情况，提出步骤清晰、合理的方案； 3、针对性：方案能够紧扣项目实际情况，内容科学合理。 三、赋分标准 以上评审内容，满足一项得3分，每一子项有缺陷或不完全满足扣0.5分，不得负分，缺项不得分。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售后服务方案、培训方案</w:t>
            </w:r>
          </w:p>
        </w:tc>
        <w:tc>
          <w:tcPr>
            <w:tcW w:type="dxa" w:w="2492"/>
          </w:tcPr>
          <w:p>
            <w:pPr>
              <w:pStyle w:val="null3"/>
            </w:pPr>
            <w:r>
              <w:rPr>
                <w:rFonts w:ascii="仿宋_GB2312" w:hAnsi="仿宋_GB2312" w:cs="仿宋_GB2312" w:eastAsia="仿宋_GB2312"/>
              </w:rPr>
              <w:t>一、评审内容 供应商针对本项目售后服务方案、培训方案，包含： ①售后服务承诺、售后服务机制、服务响应机制、服务支持方式、售后响应快捷程度、备品备件情况、故障处理时限；②培训内容、培训计划、培训方式、培训师资。 二、评审标准 1、完整性：方案必须全面，对评审内容中的各项要求有详细描述； 2、可实施性：切合本项目实际情况，提出步骤清晰、合理的方案； 3、针对性：方案能够紧扣项目实际情况，内容科学合理。 三、赋分标准 以上评审内容，满足一项得4分，每一子项有缺陷或不完全满足扣0.5分，不得负分，缺项不得分。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报告编制方案</w:t>
            </w:r>
          </w:p>
        </w:tc>
        <w:tc>
          <w:tcPr>
            <w:tcW w:type="dxa" w:w="2492"/>
          </w:tcPr>
          <w:p>
            <w:pPr>
              <w:pStyle w:val="null3"/>
            </w:pPr>
            <w:r>
              <w:rPr>
                <w:rFonts w:ascii="仿宋_GB2312" w:hAnsi="仿宋_GB2312" w:cs="仿宋_GB2312" w:eastAsia="仿宋_GB2312"/>
              </w:rPr>
              <w:t>一、评审内容 供应商针对本项目报告编制方案，内容包含： ①编制提纲；②报告编制结构框架；③报告编制内容；④质量控制技术及保障措施。 二、评审标准 1、完整性：报告必须全面，对评审内容中的各项要求有详细描述； 2、可实施性：切合本项目实际情况，提出步骤清晰、合理的方案； 3、针对性：方案能够紧扣项目实际情况，内容科学合理； 三、赋分标准 以上四项评审内容，满足一项得2分，每有一子项有缺陷或不完全满足扣0.5分，不得负分，缺项不得分。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软硬件技术参数</w:t>
            </w:r>
          </w:p>
        </w:tc>
        <w:tc>
          <w:tcPr>
            <w:tcW w:type="dxa" w:w="2492"/>
          </w:tcPr>
          <w:p>
            <w:pPr>
              <w:pStyle w:val="null3"/>
            </w:pPr>
            <w:r>
              <w:rPr>
                <w:rFonts w:ascii="仿宋_GB2312" w:hAnsi="仿宋_GB2312" w:cs="仿宋_GB2312" w:eastAsia="仿宋_GB2312"/>
              </w:rPr>
              <w:t>本次招标技术参数需求中有“▲”的指标为重要指标，投标人需对标有“▲”的指标项目做出对应应答，并提供有效的证明材料。投标人每按要求提供1项证明材料得0.5分，最高得分20分； 其余未标“▲”的指标，每负偏离一项扣0.2，扣完为止。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软硬件技术参数对比表.docx</w:t>
            </w:r>
          </w:p>
        </w:tc>
      </w:tr>
      <w:tr>
        <w:tc>
          <w:tcPr>
            <w:tcW w:type="dxa" w:w="831"/>
            <w:vMerge/>
          </w:tcPr>
          <w:p/>
        </w:tc>
        <w:tc>
          <w:tcPr>
            <w:tcW w:type="dxa" w:w="1661"/>
          </w:tcPr>
          <w:p>
            <w:pPr>
              <w:pStyle w:val="null3"/>
            </w:pPr>
            <w:r>
              <w:rPr>
                <w:rFonts w:ascii="仿宋_GB2312" w:hAnsi="仿宋_GB2312" w:cs="仿宋_GB2312" w:eastAsia="仿宋_GB2312"/>
              </w:rPr>
              <w:t>组织机构</w:t>
            </w:r>
          </w:p>
        </w:tc>
        <w:tc>
          <w:tcPr>
            <w:tcW w:type="dxa" w:w="2492"/>
          </w:tcPr>
          <w:p>
            <w:pPr>
              <w:pStyle w:val="null3"/>
            </w:pPr>
            <w:r>
              <w:rPr>
                <w:rFonts w:ascii="仿宋_GB2312" w:hAnsi="仿宋_GB2312" w:cs="仿宋_GB2312" w:eastAsia="仿宋_GB2312"/>
              </w:rPr>
              <w:t>一、评审内容 供应商针对本项目组织机构，内容包含： ①管理机构配备计划；（专业配备、专业分工等） ②组织机构岗位职责。（项目负责人、技术负责人、团队人员等岗位职责） 二、评审标准 1、完整性：方案必须全面，对评审内容中的各项要求有详细描述； 2、可实施性：切合本项目实际情况，提出步骤清晰、合理的方案； 3、针对性：方案能够紧扣项目实际情况，内容科学合理； 4、其他：组织机构成员专业、高效。 三、赋分标准 以上两项评审内容，满足一项得4分，每有一子项有缺陷或不完全满足扣1分，不得负分，缺项不得分。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（1）项目负责人具有信息化或测绘相关专业硕士研究生或以上学历，得2分；否则不得分； （2）项目负责人职称为测绘相关专业（摄影测量与遥感、测绘工程、地理信息系统（GIS）高级工程师）或水利信息化相关专业或信息化相关专业或机电智能化相关专业正高级职称得3分，副高级职称得1分，否则不得分； （3）项目负责人主持过类似项目工作经验每有一项得1分，最高得2分。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项目负责人简况表.docx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团队其他人员具有测绘相关专业或信息化相关专业副高级或以上职称每1人得1分，其他副高级职称每一人得0.5分，其余不得分，最高得5分。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项目团队.docx</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近三年承担过类似的项目同时包含本项目的核心产品（超融合、存储、软件（遥感影像应用系统开发））等产品，有一项得1分，最多不超过5分。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投标人具有信息系统建设和服务能力等级证书（CS）、信息技术服务管理体系认证证书、信息安全管理体系认证证书任意一项得1分，最高得3分。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报价明细表.docx</w:t>
            </w:r>
          </w:p>
          <w:p>
            <w:pPr>
              <w:pStyle w:val="null3"/>
            </w:pPr>
            <w:r>
              <w:rPr>
                <w:rFonts w:ascii="仿宋_GB2312" w:hAnsi="仿宋_GB2312" w:cs="仿宋_GB2312" w:eastAsia="仿宋_GB2312"/>
              </w:rPr>
              <w:t>软硬件技术参数对比表.docx</w:t>
            </w:r>
          </w:p>
          <w:p>
            <w:pPr>
              <w:pStyle w:val="null3"/>
            </w:pPr>
            <w:r>
              <w:rPr>
                <w:rFonts w:ascii="仿宋_GB2312" w:hAnsi="仿宋_GB2312" w:cs="仿宋_GB2312" w:eastAsia="仿宋_GB2312"/>
              </w:rPr>
              <w:t>授权委托书.docx</w:t>
            </w:r>
          </w:p>
          <w:p>
            <w:pPr>
              <w:pStyle w:val="null3"/>
            </w:pPr>
            <w:r>
              <w:rPr>
                <w:rFonts w:ascii="仿宋_GB2312" w:hAnsi="仿宋_GB2312" w:cs="仿宋_GB2312" w:eastAsia="仿宋_GB2312"/>
              </w:rPr>
              <w:t>项目负责人简况表.docx</w:t>
            </w:r>
          </w:p>
          <w:p>
            <w:pPr>
              <w:pStyle w:val="null3"/>
            </w:pPr>
            <w:r>
              <w:rPr>
                <w:rFonts w:ascii="仿宋_GB2312" w:hAnsi="仿宋_GB2312" w:cs="仿宋_GB2312" w:eastAsia="仿宋_GB2312"/>
              </w:rPr>
              <w:t>项目团队.docx</w:t>
            </w:r>
          </w:p>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资格证明材料.docx</w:t>
            </w:r>
          </w:p>
          <w:p>
            <w:pPr>
              <w:pStyle w:val="null3"/>
            </w:pPr>
            <w:r>
              <w:rPr>
                <w:rFonts w:ascii="仿宋_GB2312" w:hAnsi="仿宋_GB2312" w:cs="仿宋_GB2312" w:eastAsia="仿宋_GB2312"/>
              </w:rPr>
              <w:t>拒绝商业贿赂承诺书.docx</w:t>
            </w:r>
          </w:p>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合格供应商的有效报价得分=（评标基准价/响应报价）×价格权值×100（评标基准价=满足文件要求且价格最低的供应商报价）</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5.00%</w:t>
            </w:r>
          </w:p>
        </w:tc>
        <w:tc>
          <w:tcPr>
            <w:tcW w:type="dxa" w:w="1661"/>
          </w:tcPr>
          <w:p>
            <w:pPr>
              <w:pStyle w:val="null3"/>
            </w:pPr>
            <w:r>
              <w:rPr>
                <w:rFonts w:ascii="仿宋_GB2312" w:hAnsi="仿宋_GB2312" w:cs="仿宋_GB2312" w:eastAsia="仿宋_GB2312"/>
              </w:rPr>
              <w:t>1、接受大中型企业与小微企业组成联合体的采购项目，对联合协议约定小微企业的合同份额占到合同总金额30%以上的，对联合体的报价给予C1的扣除，用扣除后的价格参加评审。2、允许大中型企业向一家或者多家小微企业分包的采购项目，对于分包意向协议约定小微企业的合同份额占到合同总金额30%以上的，对大中型企业的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联合体协议书.docx</w:t>
            </w:r>
          </w:p>
          <w:p>
            <w:pPr>
              <w:pStyle w:val="null3"/>
            </w:pPr>
            <w:r>
              <w:rPr>
                <w:rFonts w:ascii="仿宋_GB2312" w:hAnsi="仿宋_GB2312" w:cs="仿宋_GB2312" w:eastAsia="仿宋_GB2312"/>
              </w:rPr>
              <w:t>中小企业声明函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详见附件：监理报价计算表.docx</w:t>
      </w:r>
    </w:p>
    <w:p>
      <w:pPr>
        <w:pStyle w:val="null3"/>
        <w:ind w:firstLine="960"/>
      </w:pPr>
      <w:r>
        <w:rPr>
          <w:rFonts w:ascii="仿宋_GB2312" w:hAnsi="仿宋_GB2312" w:cs="仿宋_GB2312" w:eastAsia="仿宋_GB2312"/>
        </w:rPr>
        <w:t>详见附件：监理大纲.docx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详见附件：项目团队.docx</w:t>
      </w:r>
    </w:p>
    <w:p>
      <w:pPr>
        <w:pStyle w:val="null3"/>
        <w:ind w:firstLine="960"/>
      </w:pPr>
      <w:r>
        <w:rPr>
          <w:rFonts w:ascii="仿宋_GB2312" w:hAnsi="仿宋_GB2312" w:cs="仿宋_GB2312" w:eastAsia="仿宋_GB2312"/>
        </w:rPr>
        <w:t>详见附件：总监理工程师简况表.docx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详见附件：拒绝商业贿赂承诺书.docx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详见附件：软硬件技术参数对比表.docx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详见附件：项目负责人简况表.docx</w:t>
      </w:r>
    </w:p>
    <w:p>
      <w:pPr>
        <w:pStyle w:val="null3"/>
        <w:ind w:firstLine="960"/>
      </w:pPr>
      <w:r>
        <w:rPr>
          <w:rFonts w:ascii="仿宋_GB2312" w:hAnsi="仿宋_GB2312" w:cs="仿宋_GB2312" w:eastAsia="仿宋_GB2312"/>
        </w:rPr>
        <w:t>详见附件：项目团队.docx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详见附件：联合体协议书.docx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详见附件：拒绝商业贿赂承诺书.docx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