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3B4E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西安航天城第四幼儿园</w:t>
      </w:r>
    </w:p>
    <w:p w14:paraId="509005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2026年餐厅运行保障、餐厅运转保障项目服务</w:t>
      </w:r>
      <w:r>
        <w:rPr>
          <w:rFonts w:hint="eastAsia" w:ascii="仿宋" w:hAnsi="仿宋" w:eastAsia="仿宋" w:cs="仿宋"/>
          <w:b/>
          <w:color w:val="auto"/>
          <w:sz w:val="30"/>
          <w:szCs w:val="30"/>
          <w:highlight w:val="none"/>
        </w:rPr>
        <w:t>合同</w:t>
      </w:r>
    </w:p>
    <w:p w14:paraId="11C84AB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甲方（采购人名称全称）：</w:t>
      </w:r>
      <w:r>
        <w:rPr>
          <w:rFonts w:hint="eastAsia" w:ascii="仿宋" w:hAnsi="仿宋" w:eastAsia="仿宋" w:cs="仿宋"/>
          <w:color w:val="auto"/>
          <w:sz w:val="24"/>
          <w:highlight w:val="none"/>
          <w:lang w:eastAsia="zh-CN"/>
        </w:rPr>
        <w:t>西安航天城第四幼儿园</w:t>
      </w:r>
    </w:p>
    <w:p w14:paraId="7A8EF2D3">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乙方（供应商名称全称）：</w:t>
      </w:r>
    </w:p>
    <w:p w14:paraId="6AD989A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陕西笃信招标有限公司</w:t>
      </w:r>
      <w:r>
        <w:rPr>
          <w:rFonts w:hint="eastAsia" w:ascii="仿宋" w:hAnsi="仿宋" w:eastAsia="仿宋" w:cs="仿宋"/>
          <w:color w:val="auto"/>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color w:val="auto"/>
          <w:sz w:val="24"/>
          <w:highlight w:val="none"/>
          <w:lang w:eastAsia="zh-CN"/>
        </w:rPr>
        <w:t>西安航天城第四幼儿园2026年餐厅运行保障、餐厅运转保障项目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供应商。依据《中华人民共和国政府采购法》、《中华人民共和国民法典》、磋商文件、成交通知书，经甲、乙双方协商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达成如下合同条款。</w:t>
      </w:r>
    </w:p>
    <w:p w14:paraId="39B7966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一、合同标的物内容及数量（以响应文件正本和澄清表（函）为准）</w:t>
      </w:r>
    </w:p>
    <w:tbl>
      <w:tblPr>
        <w:tblStyle w:val="1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8BA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170CA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16" w:type="dxa"/>
            <w:noWrap w:val="0"/>
            <w:vAlign w:val="center"/>
          </w:tcPr>
          <w:p w14:paraId="6FD33F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服务名称</w:t>
            </w:r>
          </w:p>
        </w:tc>
        <w:tc>
          <w:tcPr>
            <w:tcW w:w="1316" w:type="dxa"/>
            <w:noWrap w:val="0"/>
            <w:vAlign w:val="center"/>
          </w:tcPr>
          <w:p w14:paraId="5C027E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328" w:type="dxa"/>
            <w:noWrap w:val="0"/>
            <w:vAlign w:val="center"/>
          </w:tcPr>
          <w:p w14:paraId="541C567D">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16" w:type="dxa"/>
            <w:noWrap w:val="0"/>
            <w:vAlign w:val="center"/>
          </w:tcPr>
          <w:p w14:paraId="0780BA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tc>
        <w:tc>
          <w:tcPr>
            <w:tcW w:w="1019" w:type="dxa"/>
            <w:noWrap w:val="0"/>
            <w:vAlign w:val="center"/>
          </w:tcPr>
          <w:p w14:paraId="5FD4EB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60" w:type="dxa"/>
            <w:noWrap w:val="0"/>
            <w:vAlign w:val="top"/>
          </w:tcPr>
          <w:p w14:paraId="1F7B34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2B7346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52" w:type="dxa"/>
            <w:noWrap w:val="0"/>
            <w:vAlign w:val="top"/>
          </w:tcPr>
          <w:p w14:paraId="7D9416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4B9DE3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r>
      <w:tr w14:paraId="48E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5AD67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16" w:type="dxa"/>
            <w:noWrap w:val="0"/>
            <w:vAlign w:val="center"/>
          </w:tcPr>
          <w:p w14:paraId="3DCE744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C9DD49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ECDD3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FED9D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AEE0C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E520F3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C422F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1C7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6C37D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16" w:type="dxa"/>
            <w:noWrap w:val="0"/>
            <w:vAlign w:val="center"/>
          </w:tcPr>
          <w:p w14:paraId="7ECCEA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3B0F8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7F1DEF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BD0AA2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30A3CE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E6C44F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6B4AD29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DE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AC09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16" w:type="dxa"/>
            <w:noWrap w:val="0"/>
            <w:vAlign w:val="center"/>
          </w:tcPr>
          <w:p w14:paraId="571F7E7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11FF70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384CF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7A4A9C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4BFCFF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50FE31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30AEA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89D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21E4F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316" w:type="dxa"/>
            <w:noWrap w:val="0"/>
            <w:vAlign w:val="center"/>
          </w:tcPr>
          <w:p w14:paraId="12DD299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8933E5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A6DED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CF3B5D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7373F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42FE70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7239E3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F25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37864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316" w:type="dxa"/>
            <w:noWrap w:val="0"/>
            <w:vAlign w:val="center"/>
          </w:tcPr>
          <w:p w14:paraId="49DD35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5AF5E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29CAF1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2F63A3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57B87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CA7F99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51C791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7F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0C0B6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316" w:type="dxa"/>
            <w:noWrap w:val="0"/>
            <w:vAlign w:val="center"/>
          </w:tcPr>
          <w:p w14:paraId="3E9093E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F2AA40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1D67F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8D262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7365BE7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5886A1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4E9D7A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293B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1EBDB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1316" w:type="dxa"/>
            <w:noWrap w:val="0"/>
            <w:vAlign w:val="center"/>
          </w:tcPr>
          <w:p w14:paraId="6251AD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E6C9B6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0C8CF1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2C6D55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CBA635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31D33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6894D2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1808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25AE9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1316" w:type="dxa"/>
            <w:noWrap w:val="0"/>
            <w:vAlign w:val="center"/>
          </w:tcPr>
          <w:p w14:paraId="6FAB702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BC2C0B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FE82AC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DF6F3F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D28F66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295919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477883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E9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CBB947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1316" w:type="dxa"/>
            <w:noWrap w:val="0"/>
            <w:vAlign w:val="center"/>
          </w:tcPr>
          <w:p w14:paraId="5857CA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10CE9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C6B39E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17C786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BB7C75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4F493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58784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2C7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CF78B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8307" w:type="dxa"/>
            <w:gridSpan w:val="7"/>
            <w:noWrap w:val="0"/>
            <w:vAlign w:val="center"/>
          </w:tcPr>
          <w:p w14:paraId="085A29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07B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200F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307" w:type="dxa"/>
            <w:gridSpan w:val="7"/>
            <w:noWrap w:val="0"/>
            <w:vAlign w:val="center"/>
          </w:tcPr>
          <w:p w14:paraId="473A45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bl>
    <w:p w14:paraId="6C38F5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2.食堂员工的工作服由乙方配备</w:t>
      </w:r>
      <w:r>
        <w:rPr>
          <w:rFonts w:hint="eastAsia" w:ascii="仿宋" w:hAnsi="仿宋" w:eastAsia="仿宋" w:cs="仿宋"/>
          <w:color w:val="auto"/>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1.采购项目内容:</w:t>
      </w:r>
      <w:r>
        <w:rPr>
          <w:rFonts w:hint="eastAsia" w:ascii="仿宋" w:hAnsi="仿宋" w:eastAsia="仿宋" w:cs="仿宋"/>
          <w:color w:val="auto"/>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76B8EEF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2.服务期限</w:t>
      </w:r>
      <w:r>
        <w:rPr>
          <w:rFonts w:hint="eastAsia" w:ascii="仿宋" w:hAnsi="仿宋" w:eastAsia="仿宋" w:cs="仿宋"/>
          <w:snapToGrid w:val="0"/>
          <w:color w:val="auto"/>
          <w:spacing w:val="-3"/>
          <w:kern w:val="0"/>
          <w:sz w:val="24"/>
          <w:highlight w:val="none"/>
        </w:rPr>
        <w:t>：</w:t>
      </w:r>
      <w:r>
        <w:rPr>
          <w:rFonts w:hint="eastAsia" w:ascii="仿宋_GB2312" w:hAnsi="仿宋_GB2312" w:eastAsia="仿宋_GB2312" w:cs="仿宋_GB2312"/>
          <w:sz w:val="21"/>
          <w:highlight w:val="none"/>
          <w:lang w:eastAsia="zh-CN"/>
        </w:rPr>
        <w:t>自合同签订之日起至2027年6月30日</w:t>
      </w:r>
      <w:r>
        <w:rPr>
          <w:rFonts w:hint="eastAsia" w:ascii="仿宋" w:hAnsi="仿宋" w:eastAsia="仿宋" w:cs="仿宋"/>
          <w:snapToGrid w:val="0"/>
          <w:color w:val="auto"/>
          <w:spacing w:val="-3"/>
          <w:kern w:val="0"/>
          <w:sz w:val="24"/>
          <w:highlight w:val="none"/>
        </w:rPr>
        <w:t>。（服务期限合计不少于10个月，寒暑假期间如采购人需要供应商提供餐饮服务，供应商应无条件配合，费用包含在报价中。具体以采购人实际情况为准。）</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color w:val="auto"/>
          <w:sz w:val="24"/>
          <w:highlight w:val="none"/>
        </w:rPr>
      </w:pPr>
      <w:r>
        <w:rPr>
          <w:rFonts w:hint="eastAsia" w:ascii="仿宋" w:hAnsi="仿宋" w:eastAsia="仿宋" w:cs="仿宋"/>
          <w:b/>
          <w:bCs/>
          <w:snapToGrid w:val="0"/>
          <w:color w:val="auto"/>
          <w:spacing w:val="-3"/>
          <w:kern w:val="0"/>
          <w:sz w:val="24"/>
          <w:highlight w:val="none"/>
        </w:rPr>
        <w:t>3.就餐标准：</w:t>
      </w:r>
      <w:r>
        <w:rPr>
          <w:rFonts w:hint="eastAsia" w:ascii="仿宋" w:hAnsi="仿宋" w:eastAsia="仿宋" w:cs="仿宋"/>
          <w:b/>
          <w:bCs/>
          <w:snapToGrid w:val="0"/>
          <w:color w:val="auto"/>
          <w:spacing w:val="-3"/>
          <w:kern w:val="0"/>
          <w:sz w:val="24"/>
          <w:highlight w:val="none"/>
          <w:lang w:val="en-US" w:eastAsia="zh-CN"/>
        </w:rPr>
        <w:t>（幼儿餐食制作）餐厅运行保障项目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w:t>
      </w:r>
      <w:r>
        <w:rPr>
          <w:rFonts w:hint="eastAsia" w:ascii="仿宋" w:hAnsi="仿宋" w:eastAsia="仿宋" w:cs="仿宋"/>
          <w:snapToGrid w:val="0"/>
          <w:color w:val="auto"/>
          <w:spacing w:val="-3"/>
          <w:kern w:val="0"/>
          <w:sz w:val="24"/>
          <w:highlight w:val="none"/>
        </w:rPr>
        <w:t>餐</w:t>
      </w:r>
      <w:r>
        <w:rPr>
          <w:rFonts w:hint="eastAsia" w:ascii="仿宋" w:hAnsi="仿宋" w:eastAsia="仿宋" w:cs="仿宋"/>
          <w:snapToGrid w:val="0"/>
          <w:color w:val="auto"/>
          <w:spacing w:val="-3"/>
          <w:kern w:val="0"/>
          <w:sz w:val="24"/>
          <w:highlight w:val="none"/>
          <w:lang w:val="en-US" w:eastAsia="zh-CN"/>
        </w:rPr>
        <w:t>两点制，</w:t>
      </w:r>
      <w:r>
        <w:rPr>
          <w:rFonts w:hint="eastAsia" w:ascii="仿宋" w:hAnsi="仿宋" w:eastAsia="仿宋" w:cs="仿宋"/>
          <w:b/>
          <w:bCs/>
          <w:snapToGrid w:val="0"/>
          <w:color w:val="auto"/>
          <w:spacing w:val="-3"/>
          <w:kern w:val="0"/>
          <w:sz w:val="24"/>
          <w:highlight w:val="none"/>
          <w:lang w:val="en-US" w:eastAsia="zh-CN"/>
        </w:rPr>
        <w:t>（教职工餐食材采购及制作）餐厅运转保障项目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三餐制，</w:t>
      </w:r>
      <w:r>
        <w:rPr>
          <w:rFonts w:hint="eastAsia" w:ascii="仿宋" w:hAnsi="仿宋" w:eastAsia="仿宋" w:cs="仿宋"/>
          <w:snapToGrid w:val="0"/>
          <w:color w:val="auto"/>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3"/>
          <w:sz w:val="24"/>
          <w:highlight w:val="none"/>
        </w:rPr>
        <w:t>（一）</w:t>
      </w: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元。该价款</w:t>
      </w:r>
      <w:r>
        <w:rPr>
          <w:rFonts w:hint="eastAsia" w:ascii="仿宋" w:hAnsi="仿宋" w:eastAsia="仿宋" w:cs="仿宋"/>
          <w:snapToGrid w:val="0"/>
          <w:color w:val="auto"/>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auto"/>
          <w:kern w:val="0"/>
          <w:sz w:val="24"/>
          <w:highlight w:val="none"/>
          <w:lang w:eastAsia="zh-CN" w:bidi="ar"/>
        </w:rPr>
        <w:t>、</w:t>
      </w:r>
      <w:r>
        <w:rPr>
          <w:rFonts w:hint="eastAsia" w:ascii="仿宋" w:hAnsi="仿宋" w:eastAsia="仿宋" w:cs="仿宋"/>
          <w:snapToGrid w:val="0"/>
          <w:color w:val="auto"/>
          <w:kern w:val="0"/>
          <w:sz w:val="24"/>
          <w:highlight w:val="none"/>
          <w:lang w:val="en-US" w:eastAsia="zh-CN" w:bidi="ar"/>
        </w:rPr>
        <w:t>人员宿舍</w:t>
      </w:r>
      <w:r>
        <w:rPr>
          <w:rFonts w:hint="eastAsia" w:ascii="仿宋" w:hAnsi="仿宋" w:eastAsia="仿宋" w:cs="仿宋"/>
          <w:snapToGrid w:val="0"/>
          <w:color w:val="auto"/>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具体为：</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根据每月教师餐厅运转保障服务实际据实结算</w:t>
      </w:r>
      <w:r>
        <w:rPr>
          <w:rFonts w:hint="eastAsia" w:ascii="仿宋" w:hAnsi="仿宋" w:eastAsia="仿宋" w:cs="仿宋"/>
          <w:color w:val="auto"/>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（二）结算方式：甲方每</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验收考核一次，经综合验收合格办理结算该</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付款手续，每次付款前乙方应向甲方提供合法有效的等额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（三）采购人在</w:t>
      </w:r>
      <w:r>
        <w:rPr>
          <w:rFonts w:hint="eastAsia" w:ascii="仿宋" w:hAnsi="仿宋" w:eastAsia="仿宋" w:cs="仿宋"/>
          <w:color w:val="auto"/>
          <w:sz w:val="24"/>
          <w:highlight w:val="none"/>
          <w:lang w:val="en-US" w:eastAsia="zh-CN"/>
        </w:rPr>
        <w:t>下月</w:t>
      </w:r>
      <w:r>
        <w:rPr>
          <w:rFonts w:hint="eastAsia" w:ascii="仿宋" w:hAnsi="仿宋" w:eastAsia="仿宋" w:cs="仿宋"/>
          <w:color w:val="auto"/>
          <w:sz w:val="24"/>
          <w:highlight w:val="none"/>
        </w:rPr>
        <w:t>的15号之前支付上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的费用，</w:t>
      </w:r>
      <w:r>
        <w:rPr>
          <w:rFonts w:hint="eastAsia" w:ascii="仿宋" w:hAnsi="仿宋" w:eastAsia="仿宋" w:cs="仿宋"/>
          <w:color w:val="auto"/>
          <w:sz w:val="24"/>
          <w:highlight w:val="none"/>
          <w:lang w:val="en-US" w:eastAsia="zh-CN"/>
        </w:rPr>
        <w:t>每月</w:t>
      </w:r>
      <w:r>
        <w:rPr>
          <w:rFonts w:hint="eastAsia" w:ascii="仿宋" w:hAnsi="仿宋" w:eastAsia="仿宋" w:cs="仿宋"/>
          <w:color w:val="auto"/>
          <w:sz w:val="24"/>
          <w:highlight w:val="none"/>
        </w:rPr>
        <w:t>考核满意率95%及以上全额支付上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度的费用5%作为考核费用，如</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度考核满意率低于95%甲方有权按照下列标准扣款</w:t>
      </w:r>
      <w:r>
        <w:rPr>
          <w:rFonts w:hint="eastAsia" w:ascii="仿宋" w:hAnsi="仿宋" w:eastAsia="仿宋" w:cs="仿宋"/>
          <w:color w:val="auto"/>
          <w:sz w:val="24"/>
          <w:highlight w:val="none"/>
          <w:lang w:eastAsia="zh-CN"/>
        </w:rPr>
        <w:t>：</w:t>
      </w:r>
    </w:p>
    <w:tbl>
      <w:tblPr>
        <w:tblStyle w:val="12"/>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0DED95B">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w:t>
            </w:r>
          </w:p>
        </w:tc>
        <w:tc>
          <w:tcPr>
            <w:tcW w:w="2771" w:type="pct"/>
            <w:noWrap/>
            <w:vAlign w:val="top"/>
          </w:tcPr>
          <w:p w14:paraId="5FAD0136">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483FE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满意率≥95%</w:t>
            </w:r>
          </w:p>
        </w:tc>
        <w:tc>
          <w:tcPr>
            <w:tcW w:w="2771" w:type="pct"/>
            <w:noWrap/>
            <w:vAlign w:val="top"/>
          </w:tcPr>
          <w:p w14:paraId="307AE175">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8BA700F">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95%＞满意率≥90%</w:t>
            </w:r>
          </w:p>
        </w:tc>
        <w:tc>
          <w:tcPr>
            <w:tcW w:w="2771" w:type="pct"/>
            <w:noWrap/>
            <w:vAlign w:val="top"/>
          </w:tcPr>
          <w:p w14:paraId="42E6CCCD">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892C87C">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90%＞满意率≥85%</w:t>
            </w:r>
          </w:p>
        </w:tc>
        <w:tc>
          <w:tcPr>
            <w:tcW w:w="2771" w:type="pct"/>
            <w:noWrap/>
            <w:vAlign w:val="top"/>
          </w:tcPr>
          <w:p w14:paraId="16158E05">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FF22F12">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80%＞满意率</w:t>
            </w:r>
          </w:p>
        </w:tc>
        <w:tc>
          <w:tcPr>
            <w:tcW w:w="2771" w:type="pct"/>
            <w:noWrap/>
            <w:vAlign w:val="top"/>
          </w:tcPr>
          <w:p w14:paraId="110E26D1">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考核表详见附表</w:t>
      </w: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附件1：</w:t>
      </w:r>
    </w:p>
    <w:tbl>
      <w:tblPr>
        <w:tblStyle w:val="12"/>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highlight w:val="none"/>
                <w:lang w:eastAsia="zh-CN"/>
              </w:rPr>
              <w:t>西安航天城第四幼儿园2026年餐厅运行保障、餐厅运转保障项目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7"/>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Style w:val="18"/>
                <w:rFonts w:hint="eastAsia" w:ascii="仿宋" w:hAnsi="仿宋" w:eastAsia="仿宋" w:cs="仿宋"/>
                <w:color w:val="auto"/>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EB2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3F5A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77E99F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A194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27BDE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12495D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auto"/>
                <w:sz w:val="21"/>
                <w:szCs w:val="21"/>
                <w:highlight w:val="none"/>
                <w:u w:val="none"/>
              </w:rPr>
            </w:pPr>
            <w:r>
              <w:rPr>
                <w:rStyle w:val="19"/>
                <w:rFonts w:hint="eastAsia" w:ascii="仿宋" w:hAnsi="仿宋" w:eastAsia="仿宋" w:cs="仿宋"/>
                <w:color w:val="auto"/>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   项目经理(签字）：          考核日期：           (园部)后勤部:</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附件2：</w:t>
      </w:r>
    </w:p>
    <w:tbl>
      <w:tblPr>
        <w:tblStyle w:val="12"/>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7435E8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西安航天城第四幼儿园2026年餐厅运行保障、餐厅运转保障项目</w:t>
            </w:r>
          </w:p>
          <w:p w14:paraId="293264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auto"/>
                <w:sz w:val="22"/>
                <w:szCs w:val="22"/>
                <w:highlight w:val="none"/>
                <w:u w:val="none"/>
              </w:rPr>
            </w:pPr>
            <w:r>
              <w:rPr>
                <w:rFonts w:hint="eastAsia" w:ascii="仿宋" w:hAnsi="仿宋" w:eastAsia="仿宋" w:cs="仿宋"/>
                <w:b/>
                <w:bCs/>
                <w:i w:val="0"/>
                <w:iCs w:val="0"/>
                <w:color w:val="auto"/>
                <w:kern w:val="0"/>
                <w:sz w:val="22"/>
                <w:szCs w:val="22"/>
                <w:highlight w:val="none"/>
                <w:u w:val="none"/>
                <w:lang w:val="en-US" w:eastAsia="zh-CN" w:bidi="ar"/>
              </w:rPr>
              <w:t>（教职工食材采购及制作）评价表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人员配置</w:t>
            </w:r>
            <w:r>
              <w:rPr>
                <w:rStyle w:val="20"/>
                <w:rFonts w:hint="eastAsia" w:ascii="仿宋" w:hAnsi="仿宋" w:eastAsia="仿宋" w:cs="仿宋"/>
                <w:color w:val="auto"/>
                <w:sz w:val="22"/>
                <w:szCs w:val="22"/>
                <w:highlight w:val="none"/>
                <w:lang w:val="en-US" w:eastAsia="zh-CN" w:bidi="ar"/>
              </w:rPr>
              <w:br w:type="textWrapping"/>
            </w:r>
            <w:r>
              <w:rPr>
                <w:rStyle w:val="20"/>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kern w:val="2"/>
                <w:sz w:val="22"/>
                <w:szCs w:val="22"/>
                <w:highlight w:val="none"/>
                <w:u w:val="none"/>
                <w:lang w:val="en-US" w:eastAsia="zh-CN" w:bidi="ar-SA"/>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1"/>
                <w:rFonts w:hint="eastAsia" w:ascii="仿宋" w:hAnsi="仿宋" w:eastAsia="仿宋" w:cs="仿宋"/>
                <w:color w:val="auto"/>
                <w:sz w:val="22"/>
                <w:szCs w:val="22"/>
                <w:highlight w:val="none"/>
                <w:lang w:val="en-US" w:eastAsia="zh-CN" w:bidi="ar"/>
              </w:rPr>
              <w:br w:type="textWrapping"/>
            </w:r>
            <w:r>
              <w:rPr>
                <w:rStyle w:val="20"/>
                <w:rFonts w:hint="eastAsia" w:ascii="仿宋" w:hAnsi="仿宋" w:eastAsia="仿宋" w:cs="仿宋"/>
                <w:color w:val="auto"/>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20"/>
                <w:rFonts w:hint="eastAsia" w:ascii="仿宋" w:hAnsi="仿宋" w:eastAsia="仿宋" w:cs="仿宋"/>
                <w:color w:val="auto"/>
                <w:sz w:val="22"/>
                <w:szCs w:val="22"/>
                <w:highlight w:val="none"/>
                <w:lang w:val="en-US" w:eastAsia="zh-CN" w:bidi="ar"/>
              </w:rPr>
            </w:pPr>
            <w:r>
              <w:rPr>
                <w:rStyle w:val="20"/>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20"/>
                <w:rFonts w:hint="eastAsia" w:ascii="仿宋" w:hAnsi="仿宋" w:eastAsia="仿宋" w:cs="仿宋"/>
                <w:color w:val="auto"/>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8"/>
          <w:szCs w:val="28"/>
          <w:highlight w:val="none"/>
          <w:lang w:bidi="ar"/>
        </w:rPr>
        <w:t xml:space="preserve">   </w:t>
      </w:r>
      <w:r>
        <w:rPr>
          <w:rFonts w:hint="eastAsia" w:ascii="仿宋" w:hAnsi="仿宋" w:eastAsia="仿宋" w:cs="仿宋"/>
          <w:color w:val="auto"/>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在服务工作开展过程中，如出现意外事故，由乙方自行承担。</w:t>
      </w:r>
    </w:p>
    <w:p w14:paraId="42167BDF">
      <w:pPr>
        <w:pStyle w:val="5"/>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在合同签订时，乙方应当将配备的人员厨师证、健康证、无犯罪记录证明向甲方进行备案留存。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4.当甲方有重大活动或接待任务及临时性事务需要乙方加班时，乙方应按甲方的标准要求积极配合并完成。</w:t>
      </w:r>
    </w:p>
    <w:p w14:paraId="4479285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5.乙方需派餐厅食堂班长参加甲方</w:t>
      </w:r>
      <w:r>
        <w:rPr>
          <w:rFonts w:hint="eastAsia" w:ascii="仿宋" w:hAnsi="仿宋" w:eastAsia="仿宋" w:cs="仿宋"/>
          <w:color w:val="auto"/>
          <w:sz w:val="24"/>
          <w:szCs w:val="24"/>
          <w:highlight w:val="none"/>
          <w:lang w:eastAsia="zh-CN"/>
        </w:rPr>
        <w:t>膳食家长监督委员会</w:t>
      </w:r>
      <w:r>
        <w:rPr>
          <w:rFonts w:hint="eastAsia" w:ascii="仿宋" w:hAnsi="仿宋" w:eastAsia="仿宋" w:cs="仿宋"/>
          <w:color w:val="auto"/>
          <w:sz w:val="24"/>
          <w:szCs w:val="24"/>
          <w:highlight w:val="none"/>
        </w:rPr>
        <w:t>会议及每月</w:t>
      </w:r>
      <w:r>
        <w:rPr>
          <w:rFonts w:hint="eastAsia" w:ascii="仿宋" w:hAnsi="仿宋" w:eastAsia="仿宋" w:cs="仿宋"/>
          <w:color w:val="auto"/>
          <w:sz w:val="24"/>
          <w:szCs w:val="24"/>
          <w:highlight w:val="none"/>
          <w:lang w:val="en-US" w:eastAsia="zh-CN"/>
        </w:rPr>
        <w:t>食品安全工作</w:t>
      </w:r>
      <w:r>
        <w:rPr>
          <w:rFonts w:hint="eastAsia" w:ascii="仿宋" w:hAnsi="仿宋" w:eastAsia="仿宋" w:cs="仿宋"/>
          <w:color w:val="auto"/>
          <w:sz w:val="24"/>
          <w:szCs w:val="24"/>
          <w:highlight w:val="none"/>
        </w:rPr>
        <w:t>会议。并召开每周食堂全体工作人员例会。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乙方从事餐饮的所有人员必须办理卫生防疫部门发放的健康证，并承担办证费用。</w:t>
      </w:r>
    </w:p>
    <w:p w14:paraId="3237B298">
      <w:pPr>
        <w:pStyle w:val="22"/>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（四）双方拟定的其他条款。</w:t>
      </w:r>
    </w:p>
    <w:p w14:paraId="7AC6F77C">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（一）合同中未约定的，按《中华人民共和国民法典》中的相关条款执行。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（三）在本合同履行过程中，双方因违约或造成对方经济、社会效益等损失的应当赔偿。</w:t>
      </w:r>
    </w:p>
    <w:p w14:paraId="1270729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（四）甲方无正当理由拒绝接受服务的，需向乙方偿付本合同总价款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（六）乙方未能按照本合同约定时间提供服务或完成约定的项目服务内容的，从逾期之日起每日按本合同总价款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％的数额向甲方支付违约金；逾期</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auto"/>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4479C93B">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（四）双方拟定的其他条款。</w:t>
      </w:r>
    </w:p>
    <w:p w14:paraId="73514DD3">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十一、合同变更与终止</w:t>
      </w:r>
    </w:p>
    <w:p w14:paraId="33296757">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20BBC4CF">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0CAA85BF">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3、乙方应自觉遵守甲方工作纪律、规章制度，服从甲方管理。因乙方原因给甲方造成严重后果，甲方可以单方面解除合同。</w:t>
      </w:r>
    </w:p>
    <w:p w14:paraId="40851C7E">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rPr>
        <w:fldChar w:fldCharType="end"/>
      </w:r>
    </w:p>
    <w:p w14:paraId="7F0DE2E6">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不可抗力</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方通</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违约责任</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p>
    <w:p w14:paraId="4AC21317">
      <w:pPr>
        <w:pStyle w:val="22"/>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十三、争议解决</w:t>
      </w:r>
    </w:p>
    <w:p w14:paraId="38D70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（一）本合同在履行过程中发生的争议，由甲、乙双方当事人协商解决，协商不成的按下列第＿种方式解决：</w:t>
      </w:r>
    </w:p>
    <w:p w14:paraId="3D78AB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1、提交西安仲裁委员会仲裁；</w:t>
      </w:r>
    </w:p>
    <w:p w14:paraId="5B9341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2、依法向甲方所在地人民法院起诉。</w:t>
      </w:r>
    </w:p>
    <w:p w14:paraId="3C3D5F0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（二）本条款为独立条款，本合同的无效、变更、解除和终止均不影响本条款的效力。</w:t>
      </w:r>
    </w:p>
    <w:p w14:paraId="48CD516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十四、关于送达的约定</w:t>
      </w:r>
    </w:p>
    <w:p w14:paraId="6365756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（一）本合同项下甲乙双方任何一方向对方发出的通知、信件、数据电文等，应当发送至本合同下列约定的地址、联系人和通信终端。</w:t>
      </w:r>
    </w:p>
    <w:p w14:paraId="39C65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45140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7956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C02D5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同意□不同意）接受电子文件送达，电子终端信息如下：</w:t>
      </w:r>
    </w:p>
    <w:p w14:paraId="71341A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87541F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795695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8FEF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655D73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B52E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24CA87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069E7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乙方（□同意□不同意）接受电子文件送达，电子终端信息如下：</w:t>
      </w:r>
    </w:p>
    <w:p w14:paraId="2BD29F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移动电话：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8506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5E89E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微信号：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86907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8B10671">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（二）各种通讯方式应当按照下列方式确定其送达时间：</w:t>
      </w:r>
    </w:p>
    <w:p w14:paraId="25F3869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1、面呈之通知在被通知人签收时视为送达，被通知人未签收的不得视为有效的送达。</w:t>
      </w:r>
    </w:p>
    <w:p w14:paraId="48B504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2、以邮寄方式进行的通知均应采用邮政挂号快件或特快专递的方式进行，自信件交邮后的第7日视为送达。</w:t>
      </w:r>
    </w:p>
    <w:p w14:paraId="714494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400D2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0CDB0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十五、合同变更</w:t>
      </w:r>
    </w:p>
    <w:p w14:paraId="306931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2054BB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十六、合同生效</w:t>
      </w:r>
    </w:p>
    <w:p w14:paraId="3280C27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份，西安国家民用航天产业基地管委会财政局备案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份，本合同甲、乙</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方签字并盖章后生效，合同执行完毕后，自动失效（合同的服务承诺则长期有效）。</w:t>
      </w:r>
    </w:p>
    <w:p w14:paraId="617AE69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十七、其他事项</w:t>
      </w:r>
    </w:p>
    <w:p w14:paraId="5D7656A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64E25B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）磋商文件、响应文件、澄清表（函）、成交通知书、合同附件均成为合同不可分割的部分。</w:t>
      </w:r>
    </w:p>
    <w:p w14:paraId="51B3FC8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）甲乙双方因不可抗力导致本合同全部或部分不能履行时，发生不可抗力的一方应当在不可抗力发生后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天内书面通知对方，以减轻可能给对方造成的损失。因不可抗力导致本合同全部或部分不能履行时，双方各自承担其因此而造成的损失、损害。</w:t>
      </w:r>
    </w:p>
    <w:p w14:paraId="78AC5E4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）合同未尽事宜，由甲、乙双方协商确认后签订政府采购补充合同，与原合同具有同等法律效力。</w:t>
      </w:r>
    </w:p>
    <w:p w14:paraId="325B790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061D1A54">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tbl>
      <w:tblPr>
        <w:tblStyle w:val="12"/>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0FA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DB7B715">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2500" w:type="pct"/>
            <w:noWrap w:val="0"/>
            <w:vAlign w:val="center"/>
          </w:tcPr>
          <w:p w14:paraId="3D5336CF">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0060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46995A17">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采购人名称</w:t>
            </w:r>
          </w:p>
          <w:p w14:paraId="55FADAC8">
            <w:pPr>
              <w:pStyle w:val="5"/>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1748421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2500" w:type="pct"/>
            <w:noWrap w:val="0"/>
            <w:vAlign w:val="center"/>
          </w:tcPr>
          <w:p w14:paraId="1A8F3048">
            <w:pPr>
              <w:pStyle w:val="5"/>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w:t>
            </w:r>
          </w:p>
          <w:p w14:paraId="1DC98B10">
            <w:pPr>
              <w:pStyle w:val="5"/>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30696FEF">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7FA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F881800">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c>
          <w:tcPr>
            <w:tcW w:w="2500" w:type="pct"/>
            <w:noWrap w:val="0"/>
            <w:vAlign w:val="center"/>
          </w:tcPr>
          <w:p w14:paraId="54C96884">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r>
      <w:tr w14:paraId="1D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A3DF03E">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500" w:type="pct"/>
            <w:noWrap w:val="0"/>
            <w:vAlign w:val="center"/>
          </w:tcPr>
          <w:p w14:paraId="08A8400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726C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2D3D1B9">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500" w:type="pct"/>
            <w:noWrap w:val="0"/>
            <w:vAlign w:val="center"/>
          </w:tcPr>
          <w:p w14:paraId="5C54FB1B">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1EC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E11017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c>
          <w:tcPr>
            <w:tcW w:w="2500" w:type="pct"/>
            <w:noWrap w:val="0"/>
            <w:vAlign w:val="center"/>
          </w:tcPr>
          <w:p w14:paraId="750BFCDB">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r>
      <w:tr w14:paraId="4CF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0925210B">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c>
          <w:tcPr>
            <w:tcW w:w="2500" w:type="pct"/>
            <w:noWrap w:val="0"/>
            <w:vAlign w:val="center"/>
          </w:tcPr>
          <w:p w14:paraId="2A0D88EC">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r>
      <w:tr w14:paraId="0DCC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04F2BB49">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500" w:type="pct"/>
            <w:noWrap w:val="0"/>
            <w:vAlign w:val="center"/>
          </w:tcPr>
          <w:p w14:paraId="28B6C77F">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76E0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6004E48E">
            <w:pPr>
              <w:pStyle w:val="8"/>
              <w:rPr>
                <w:rFonts w:hint="eastAsia" w:ascii="仿宋" w:hAnsi="仿宋" w:eastAsia="仿宋" w:cs="仿宋"/>
                <w:color w:val="auto"/>
                <w:sz w:val="24"/>
                <w:szCs w:val="24"/>
                <w:highlight w:val="none"/>
              </w:rPr>
            </w:pPr>
          </w:p>
        </w:tc>
        <w:tc>
          <w:tcPr>
            <w:tcW w:w="2500" w:type="pct"/>
            <w:noWrap w:val="0"/>
            <w:vAlign w:val="center"/>
          </w:tcPr>
          <w:p w14:paraId="7222FB63">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开户银行：</w:t>
            </w:r>
          </w:p>
        </w:tc>
      </w:tr>
      <w:tr w14:paraId="024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3A55E61">
            <w:pPr>
              <w:pStyle w:val="8"/>
              <w:rPr>
                <w:rFonts w:hint="eastAsia" w:ascii="仿宋" w:hAnsi="仿宋" w:eastAsia="仿宋" w:cs="仿宋"/>
                <w:color w:val="auto"/>
                <w:sz w:val="24"/>
                <w:szCs w:val="24"/>
                <w:highlight w:val="none"/>
              </w:rPr>
            </w:pPr>
          </w:p>
        </w:tc>
        <w:tc>
          <w:tcPr>
            <w:tcW w:w="2500" w:type="pct"/>
            <w:noWrap w:val="0"/>
            <w:vAlign w:val="center"/>
          </w:tcPr>
          <w:p w14:paraId="17CF3CB1">
            <w:pPr>
              <w:pStyle w:val="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p>
        </w:tc>
      </w:tr>
      <w:tr w14:paraId="61F1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132258D">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500" w:type="pct"/>
            <w:noWrap w:val="0"/>
            <w:vAlign w:val="center"/>
          </w:tcPr>
          <w:p w14:paraId="162DBC64">
            <w:pPr>
              <w:pStyle w:val="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58E6F4EE">
      <w:bookmarkStart w:id="0" w:name="_GoBack"/>
      <w:bookmarkEnd w:id="0"/>
    </w:p>
    <w:p w14:paraId="449E55D8">
      <w:pPr>
        <w:pStyle w:val="16"/>
        <w:bidi w:val="0"/>
        <w:spacing w:line="300" w:lineRule="auto"/>
        <w:rPr>
          <w:rFonts w:hint="eastAsia" w:ascii="仿宋" w:hAnsi="仿宋" w:eastAsia="仿宋" w:cs="仿宋"/>
          <w:highlight w:val="none"/>
          <w:lang w:val="en-US" w:eastAsia="zh-Hans"/>
        </w:rPr>
      </w:pPr>
    </w:p>
    <w:p w14:paraId="4170DBE7"/>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F6CCB">
    <w:pPr>
      <w:pStyle w:val="9"/>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26C88"/>
    <w:rsid w:val="14422A31"/>
    <w:rsid w:val="378253CB"/>
    <w:rsid w:val="452024EE"/>
    <w:rsid w:val="50103EED"/>
    <w:rsid w:val="6396607D"/>
    <w:rsid w:val="6843096F"/>
    <w:rsid w:val="6C063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3"/>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4"/>
    <w:qFormat/>
    <w:uiPriority w:val="0"/>
    <w:rPr>
      <w:rFonts w:hint="eastAsia" w:ascii="仿宋" w:hAnsi="仿宋" w:eastAsia="仿宋" w:cs="仿宋"/>
      <w:color w:val="C00000"/>
      <w:sz w:val="24"/>
      <w:szCs w:val="24"/>
      <w:u w:val="none"/>
    </w:rPr>
  </w:style>
  <w:style w:type="character" w:customStyle="1" w:styleId="18">
    <w:name w:val="font31"/>
    <w:basedOn w:val="14"/>
    <w:qFormat/>
    <w:uiPriority w:val="0"/>
    <w:rPr>
      <w:rFonts w:hint="eastAsia" w:ascii="宋体" w:hAnsi="宋体" w:eastAsia="宋体" w:cs="宋体"/>
      <w:color w:val="000000"/>
      <w:sz w:val="21"/>
      <w:szCs w:val="21"/>
      <w:u w:val="none"/>
    </w:rPr>
  </w:style>
  <w:style w:type="character" w:customStyle="1" w:styleId="19">
    <w:name w:val="font41"/>
    <w:basedOn w:val="14"/>
    <w:qFormat/>
    <w:uiPriority w:val="0"/>
    <w:rPr>
      <w:rFonts w:hint="eastAsia" w:ascii="宋体" w:hAnsi="宋体" w:eastAsia="宋体" w:cs="宋体"/>
      <w:b/>
      <w:bCs/>
      <w:color w:val="000000"/>
      <w:sz w:val="21"/>
      <w:szCs w:val="21"/>
      <w:u w:val="none"/>
    </w:rPr>
  </w:style>
  <w:style w:type="character" w:customStyle="1" w:styleId="20">
    <w:name w:val="font51"/>
    <w:basedOn w:val="14"/>
    <w:qFormat/>
    <w:uiPriority w:val="0"/>
    <w:rPr>
      <w:rFonts w:ascii="宋体" w:hAnsi="宋体" w:eastAsia="宋体" w:cs="宋体"/>
      <w:color w:val="000000"/>
      <w:sz w:val="20"/>
      <w:szCs w:val="20"/>
      <w:u w:val="none"/>
    </w:rPr>
  </w:style>
  <w:style w:type="character" w:customStyle="1" w:styleId="21">
    <w:name w:val="font61"/>
    <w:basedOn w:val="14"/>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5534</Words>
  <Characters>5601</Characters>
  <Lines>0</Lines>
  <Paragraphs>0</Paragraphs>
  <TotalTime>0</TotalTime>
  <ScaleCrop>false</ScaleCrop>
  <LinksUpToDate>false</LinksUpToDate>
  <CharactersWithSpaces>5939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蒲公瑛</cp:lastModifiedBy>
  <dcterms:modified xsi:type="dcterms:W3CDTF">2026-06-30T04:36:23Z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eyJoZGlkIjoiMjMyMjQ3NWZiMzY3ZGRlYWM4ZTc5M2RlNjk3ZDU4ODQiLCJ1c2VySWQiOiIyNjczNDI4MzEifQ==</vt:lpwstr>
  </property>
  <property fmtid="{D5CDD505-2E9C-101B-9397-08002B2CF9AE}" pid="4" name="ICV">
    <vt:lpwstr>350A0181A42E4F5584E829A6F056B162_13</vt:lpwstr>
  </property>
</Properties>
</file>