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版本号：ZJXG2026040.1B120260512001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西安市会展业第三方统计项目(二次)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ZJXG2026040.1B1</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西安市会展业第三方统计项目(二次)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ZJXG2026040.1B1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西安市会展业第三方统计项目(二次)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开展会展业第三方统计工作，进一步提高西安市会展业统计数据的客观性和专业性，做到广泛收集、应统尽统，对相关数据进行深入分析和与其他副省级城市数据对比，全面呈现我市会展业发展情况，提出合理化和可行性建议，为政府行业主管部门及单位提供决策依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采购包1（西安市会展业第三方统计项目）：属于专门面向中小企业采购。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10、是否接受联合体投标：本合同包不接受联合体投标，提供非联合体投标声明。供应商需在项目电子化交易系统中按要求上传相应证明文件并进行电子签章。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左福刚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文件收费标准计取，不足3300元按3300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开展会展业第三方统计工作，进一步提高西安市会展业统计数据的客观性和专业性，做到广泛收集、应统尽统，对相关数据进行深入分析和与其他副省级城市数据对比，全面呈现我市会展业发展情况，提出合理化和可行性建议，为政府行业主管部门及单位提供决策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会展业第三方统计项目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标的名称：会展业第三方统计项目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通过开展会展业第三方统计工作，进一步提高西安市会展业统计数据的客观性和专业性，做到广泛收集、应统尽统，对相关数据进行深入分析和与其他副省级城市数据对比，全面呈现我市会展业发展情况，提出合理化和可行性建议，为政府行业主管部门及单位提供决策依据。</w:t>
            </w:r>
          </w:p>
          <w:p>
            <w:pPr>
              <w:pStyle w:val="null3"/>
              <w:jc w:val="both"/>
            </w:pPr>
            <w:r>
              <w:rPr>
                <w:rFonts w:ascii="仿宋_GB2312" w:hAnsi="仿宋_GB2312" w:cs="仿宋_GB2312" w:eastAsia="仿宋_GB2312"/>
                <w:b/>
              </w:rPr>
              <w:t>二、</w:t>
            </w:r>
            <w:r>
              <w:rPr>
                <w:rFonts w:ascii="仿宋_GB2312" w:hAnsi="仿宋_GB2312" w:cs="仿宋_GB2312" w:eastAsia="仿宋_GB2312"/>
                <w:b/>
              </w:rPr>
              <w:t>服务内容</w:t>
            </w:r>
          </w:p>
          <w:p>
            <w:pPr>
              <w:pStyle w:val="null3"/>
              <w:jc w:val="both"/>
            </w:pPr>
            <w:r>
              <w:rPr>
                <w:rFonts w:ascii="仿宋_GB2312" w:hAnsi="仿宋_GB2312" w:cs="仿宋_GB2312" w:eastAsia="仿宋_GB2312"/>
                <w:b/>
              </w:rPr>
              <w:t>（一）会展业基础统计</w:t>
            </w:r>
          </w:p>
          <w:p>
            <w:pPr>
              <w:pStyle w:val="null3"/>
              <w:ind w:firstLine="400"/>
              <w:jc w:val="both"/>
            </w:pPr>
            <w:r>
              <w:rPr>
                <w:rFonts w:ascii="仿宋_GB2312" w:hAnsi="仿宋_GB2312" w:cs="仿宋_GB2312" w:eastAsia="仿宋_GB2312"/>
              </w:rPr>
              <w:t>开展展会项目统计调查以展览项目统计调查为主，兼顾规模以上的会议活动和促销会。统计对象包括会展活动重点场所、会展活动组织单位、会展服务商、会展活动的延伸企业等。</w:t>
            </w:r>
          </w:p>
          <w:p>
            <w:pPr>
              <w:pStyle w:val="null3"/>
              <w:ind w:firstLine="400"/>
              <w:jc w:val="both"/>
            </w:pPr>
            <w:r>
              <w:rPr>
                <w:rFonts w:ascii="仿宋_GB2312" w:hAnsi="仿宋_GB2312" w:cs="仿宋_GB2312" w:eastAsia="仿宋_GB2312"/>
              </w:rPr>
              <w:t>1.展览项目统计调查指标包括展会名称、所在展馆、主承办单位、展出时间、总展览天数、展出面积、行业分类（一、二类）展出形式、参展公司数量、观众人数、意向成交额或实际成交额等。</w:t>
            </w:r>
          </w:p>
          <w:p>
            <w:pPr>
              <w:pStyle w:val="null3"/>
              <w:ind w:firstLine="400"/>
              <w:jc w:val="both"/>
            </w:pPr>
            <w:r>
              <w:rPr>
                <w:rFonts w:ascii="仿宋_GB2312" w:hAnsi="仿宋_GB2312" w:cs="仿宋_GB2312" w:eastAsia="仿宋_GB2312"/>
              </w:rPr>
              <w:t>2.会议活动统计调查指标包括会议名称、举办地点、主承办单位、会议时间、参会人数、会议面积等。</w:t>
            </w:r>
          </w:p>
          <w:p>
            <w:pPr>
              <w:pStyle w:val="null3"/>
              <w:ind w:firstLine="400"/>
              <w:jc w:val="both"/>
            </w:pPr>
            <w:r>
              <w:rPr>
                <w:rFonts w:ascii="仿宋_GB2312" w:hAnsi="仿宋_GB2312" w:cs="仿宋_GB2312" w:eastAsia="仿宋_GB2312"/>
              </w:rPr>
              <w:t>3.促销会统计调查指标包括活动名称、举办地点、主承办单位、活动时间、参展公司数量、观众人数、成交额等。</w:t>
            </w:r>
          </w:p>
          <w:p>
            <w:pPr>
              <w:pStyle w:val="null3"/>
              <w:jc w:val="both"/>
            </w:pPr>
            <w:r>
              <w:rPr>
                <w:rFonts w:ascii="仿宋_GB2312" w:hAnsi="仿宋_GB2312" w:cs="仿宋_GB2312" w:eastAsia="仿宋_GB2312"/>
                <w:b/>
              </w:rPr>
              <w:t>（二）会展业延伸统计</w:t>
            </w:r>
          </w:p>
          <w:p>
            <w:pPr>
              <w:pStyle w:val="null3"/>
              <w:ind w:firstLine="400"/>
              <w:jc w:val="both"/>
            </w:pPr>
            <w:r>
              <w:rPr>
                <w:rFonts w:ascii="仿宋_GB2312" w:hAnsi="仿宋_GB2312" w:cs="仿宋_GB2312" w:eastAsia="仿宋_GB2312"/>
              </w:rPr>
              <w:t>1.完善重点会展企业动态数据库：分类别优化骨干库、成长库、种子库3个重点会展企业库，实时更新企业数量、名称、所属区县、业务类型、营收情况、运营项目等数据，精准掌握企业发展态势。</w:t>
            </w:r>
          </w:p>
          <w:p>
            <w:pPr>
              <w:pStyle w:val="null3"/>
              <w:ind w:firstLine="400"/>
              <w:jc w:val="both"/>
            </w:pPr>
            <w:r>
              <w:rPr>
                <w:rFonts w:ascii="仿宋_GB2312" w:hAnsi="仿宋_GB2312" w:cs="仿宋_GB2312" w:eastAsia="仿宋_GB2312"/>
              </w:rPr>
              <w:t>2.科学测算会展带动效益：结合展会规模、参展人数、交易数据等指标，建立专业测算模型，核算会展业对我市住宿、餐饮、交通、旅游、零售等关联产业的拉动作用，量化会展经济综合贡献值。</w:t>
            </w:r>
          </w:p>
          <w:p>
            <w:pPr>
              <w:pStyle w:val="null3"/>
              <w:ind w:firstLine="400"/>
              <w:jc w:val="both"/>
            </w:pPr>
            <w:r>
              <w:rPr>
                <w:rFonts w:ascii="仿宋_GB2312" w:hAnsi="仿宋_GB2312" w:cs="仿宋_GB2312" w:eastAsia="仿宋_GB2312"/>
              </w:rPr>
              <w:t>3.开展重点展会绩效评估：调研我市重点展会运作情况，从城市消费、产业发展、社会就业等维度开展绩效评估，全面反映展会综合带动作用。</w:t>
            </w:r>
          </w:p>
          <w:p>
            <w:pPr>
              <w:pStyle w:val="null3"/>
              <w:ind w:firstLine="400"/>
              <w:jc w:val="both"/>
            </w:pPr>
            <w:r>
              <w:rPr>
                <w:rFonts w:ascii="仿宋_GB2312" w:hAnsi="仿宋_GB2312" w:cs="仿宋_GB2312" w:eastAsia="仿宋_GB2312"/>
              </w:rPr>
              <w:t>4.推进重点会展城市对比分析：收集整理全国15个副省级城市会展核心数据，从展览数量、面积、展馆承载力、利用率、会议竞争力、政策出台情况等方面开展对比分析，精准定位我市会展业发展位次，挖掘优势与潜力。</w:t>
            </w:r>
          </w:p>
          <w:p>
            <w:pPr>
              <w:pStyle w:val="null3"/>
              <w:jc w:val="both"/>
            </w:pPr>
            <w:r>
              <w:rPr>
                <w:rFonts w:ascii="仿宋_GB2312" w:hAnsi="仿宋_GB2312" w:cs="仿宋_GB2312" w:eastAsia="仿宋_GB2312"/>
                <w:b/>
              </w:rPr>
              <w:t>三、技术要求</w:t>
            </w:r>
          </w:p>
          <w:p>
            <w:pPr>
              <w:pStyle w:val="null3"/>
              <w:ind w:firstLine="400"/>
              <w:jc w:val="both"/>
            </w:pPr>
            <w:r>
              <w:rPr>
                <w:rFonts w:ascii="仿宋_GB2312" w:hAnsi="仿宋_GB2312" w:cs="仿宋_GB2312" w:eastAsia="仿宋_GB2312"/>
              </w:rPr>
              <w:t>对数据处理软件进行使用，解决数据处理软件在使用过程中出现的技术问题。</w:t>
            </w:r>
          </w:p>
          <w:p>
            <w:pPr>
              <w:pStyle w:val="null3"/>
              <w:jc w:val="both"/>
            </w:pPr>
            <w:r>
              <w:rPr>
                <w:rFonts w:ascii="仿宋_GB2312" w:hAnsi="仿宋_GB2312" w:cs="仿宋_GB2312" w:eastAsia="仿宋_GB2312"/>
                <w:b/>
              </w:rPr>
              <w:t>四、服务要求</w:t>
            </w:r>
          </w:p>
          <w:p>
            <w:pPr>
              <w:pStyle w:val="null3"/>
              <w:ind w:firstLine="402"/>
              <w:jc w:val="both"/>
            </w:pPr>
            <w:r>
              <w:rPr>
                <w:rFonts w:ascii="仿宋_GB2312" w:hAnsi="仿宋_GB2312" w:cs="仿宋_GB2312" w:eastAsia="仿宋_GB2312"/>
                <w:b/>
              </w:rPr>
              <w:t>（一）服务标准</w:t>
            </w:r>
          </w:p>
          <w:p>
            <w:pPr>
              <w:pStyle w:val="null3"/>
              <w:ind w:firstLine="400"/>
              <w:jc w:val="both"/>
            </w:pPr>
            <w:r>
              <w:rPr>
                <w:rFonts w:ascii="仿宋_GB2312" w:hAnsi="仿宋_GB2312" w:cs="仿宋_GB2312" w:eastAsia="仿宋_GB2312"/>
              </w:rPr>
              <w:t>按照《西安市会展业统计报表制度》和省商务厅关于展览数据统计工作等要求，开展会展业统计服务，完成当年度西安市区域内举办展览、会议、展销等展会活动的统计工作，按时提供月度、季度、年度统计数据收集汇总，开展季度数据分析和年度统计分析报告。</w:t>
            </w:r>
          </w:p>
          <w:p>
            <w:pPr>
              <w:pStyle w:val="null3"/>
              <w:ind w:firstLine="402"/>
              <w:jc w:val="both"/>
            </w:pPr>
            <w:r>
              <w:rPr>
                <w:rFonts w:ascii="仿宋_GB2312" w:hAnsi="仿宋_GB2312" w:cs="仿宋_GB2312" w:eastAsia="仿宋_GB2312"/>
                <w:b/>
              </w:rPr>
              <w:t>（二）人员配置</w:t>
            </w:r>
          </w:p>
          <w:p>
            <w:pPr>
              <w:pStyle w:val="null3"/>
              <w:ind w:firstLine="400"/>
              <w:jc w:val="both"/>
            </w:pPr>
            <w:r>
              <w:rPr>
                <w:rFonts w:ascii="仿宋_GB2312" w:hAnsi="仿宋_GB2312" w:cs="仿宋_GB2312" w:eastAsia="仿宋_GB2312"/>
              </w:rPr>
              <w:t>成立项目工作小组，配备工作人员，制定服务方案。工作人员需熟悉会展行业和了解相关场馆、企业运作模式，并具备统计、调查及分析工作的经验。</w:t>
            </w:r>
          </w:p>
          <w:p>
            <w:pPr>
              <w:pStyle w:val="null3"/>
              <w:jc w:val="both"/>
            </w:pPr>
            <w:r>
              <w:rPr>
                <w:rFonts w:ascii="仿宋_GB2312" w:hAnsi="仿宋_GB2312" w:cs="仿宋_GB2312" w:eastAsia="仿宋_GB2312"/>
                <w:b/>
              </w:rPr>
              <w:t>五、商务要求</w:t>
            </w:r>
          </w:p>
          <w:p>
            <w:pPr>
              <w:pStyle w:val="null3"/>
              <w:ind w:firstLine="402"/>
              <w:jc w:val="both"/>
            </w:pPr>
            <w:r>
              <w:rPr>
                <w:rFonts w:ascii="仿宋_GB2312" w:hAnsi="仿宋_GB2312" w:cs="仿宋_GB2312" w:eastAsia="仿宋_GB2312"/>
                <w:b/>
              </w:rPr>
              <w:t>（一）服务期限</w:t>
            </w:r>
          </w:p>
          <w:p>
            <w:pPr>
              <w:pStyle w:val="null3"/>
              <w:ind w:firstLine="400"/>
              <w:jc w:val="both"/>
            </w:pPr>
            <w:r>
              <w:rPr>
                <w:rFonts w:ascii="仿宋_GB2312" w:hAnsi="仿宋_GB2312" w:cs="仿宋_GB2312" w:eastAsia="仿宋_GB2312"/>
              </w:rPr>
              <w:t>自合同签订之日至项目结束。</w:t>
            </w:r>
          </w:p>
          <w:p>
            <w:pPr>
              <w:pStyle w:val="null3"/>
              <w:ind w:firstLine="402"/>
              <w:jc w:val="both"/>
            </w:pPr>
            <w:r>
              <w:rPr>
                <w:rFonts w:ascii="仿宋_GB2312" w:hAnsi="仿宋_GB2312" w:cs="仿宋_GB2312" w:eastAsia="仿宋_GB2312"/>
                <w:b/>
              </w:rPr>
              <w:t>（二）服务地点：</w:t>
            </w:r>
            <w:r>
              <w:rPr>
                <w:rFonts w:ascii="仿宋_GB2312" w:hAnsi="仿宋_GB2312" w:cs="仿宋_GB2312" w:eastAsia="仿宋_GB2312"/>
              </w:rPr>
              <w:t>采购</w:t>
            </w:r>
            <w:r>
              <w:rPr>
                <w:rFonts w:ascii="仿宋_GB2312" w:hAnsi="仿宋_GB2312" w:cs="仿宋_GB2312" w:eastAsia="仿宋_GB2312"/>
              </w:rPr>
              <w:t>人指定地点。</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）款项结算</w:t>
            </w:r>
          </w:p>
          <w:p>
            <w:pPr>
              <w:pStyle w:val="null3"/>
              <w:ind w:firstLine="400"/>
              <w:jc w:val="both"/>
            </w:pPr>
            <w:r>
              <w:rPr>
                <w:rFonts w:ascii="仿宋_GB2312" w:hAnsi="仿宋_GB2312" w:cs="仿宋_GB2312" w:eastAsia="仿宋_GB2312"/>
              </w:rPr>
              <w:t>付款条件说明：</w:t>
            </w:r>
            <w:r>
              <w:rPr>
                <w:rFonts w:ascii="仿宋_GB2312" w:hAnsi="仿宋_GB2312" w:cs="仿宋_GB2312" w:eastAsia="仿宋_GB2312"/>
              </w:rPr>
              <w:t>合同签订后，供应商向采购方开具等额的增值税普通发票，采购方收到合规的发票</w:t>
            </w:r>
            <w:r>
              <w:rPr>
                <w:rFonts w:ascii="仿宋_GB2312" w:hAnsi="仿宋_GB2312" w:cs="仿宋_GB2312" w:eastAsia="仿宋_GB2312"/>
              </w:rPr>
              <w:t>，达到付款条件起</w:t>
            </w:r>
            <w:r>
              <w:rPr>
                <w:rFonts w:ascii="仿宋_GB2312" w:hAnsi="仿宋_GB2312" w:cs="仿宋_GB2312" w:eastAsia="仿宋_GB2312"/>
              </w:rPr>
              <w:t xml:space="preserve"> 30日内，支付合同总金额的 60.00%。</w:t>
            </w:r>
          </w:p>
          <w:p>
            <w:pPr>
              <w:pStyle w:val="null3"/>
              <w:ind w:firstLine="400"/>
              <w:jc w:val="both"/>
            </w:pPr>
            <w:r>
              <w:rPr>
                <w:rFonts w:ascii="仿宋_GB2312" w:hAnsi="仿宋_GB2312" w:cs="仿宋_GB2312" w:eastAsia="仿宋_GB2312"/>
              </w:rPr>
              <w:t>付款条件说明：</w:t>
            </w:r>
            <w:r>
              <w:rPr>
                <w:rFonts w:ascii="仿宋_GB2312" w:hAnsi="仿宋_GB2312" w:cs="仿宋_GB2312" w:eastAsia="仿宋_GB2312"/>
              </w:rPr>
              <w:t>供应商项目执行结束经验收合格后，向采购方开具等额的增值税普通发票，采购方收到合规的发票</w:t>
            </w:r>
            <w:r>
              <w:rPr>
                <w:rFonts w:ascii="仿宋_GB2312" w:hAnsi="仿宋_GB2312" w:cs="仿宋_GB2312" w:eastAsia="仿宋_GB2312"/>
              </w:rPr>
              <w:t>，达到付款条件起</w:t>
            </w:r>
            <w:r>
              <w:rPr>
                <w:rFonts w:ascii="仿宋_GB2312" w:hAnsi="仿宋_GB2312" w:cs="仿宋_GB2312" w:eastAsia="仿宋_GB2312"/>
              </w:rPr>
              <w:t xml:space="preserve"> 30 日内，支付合同总金额的 40.00%。</w:t>
            </w:r>
          </w:p>
          <w:p>
            <w:pPr>
              <w:pStyle w:val="null3"/>
              <w:jc w:val="both"/>
            </w:pPr>
            <w:r>
              <w:rPr>
                <w:rFonts w:ascii="仿宋_GB2312" w:hAnsi="仿宋_GB2312" w:cs="仿宋_GB2312" w:eastAsia="仿宋_GB2312"/>
                <w:b/>
              </w:rPr>
              <w:t>六、其他</w:t>
            </w:r>
          </w:p>
          <w:p>
            <w:pPr>
              <w:pStyle w:val="null3"/>
              <w:ind w:firstLine="402"/>
              <w:jc w:val="both"/>
            </w:pPr>
            <w:r>
              <w:rPr>
                <w:rFonts w:ascii="仿宋_GB2312" w:hAnsi="仿宋_GB2312" w:cs="仿宋_GB2312" w:eastAsia="仿宋_GB2312"/>
                <w:b/>
              </w:rPr>
              <w:t>（一）进度要求</w:t>
            </w:r>
          </w:p>
          <w:p>
            <w:pPr>
              <w:pStyle w:val="null3"/>
              <w:ind w:firstLine="400"/>
              <w:jc w:val="both"/>
            </w:pPr>
            <w:r>
              <w:rPr>
                <w:rFonts w:ascii="仿宋_GB2312" w:hAnsi="仿宋_GB2312" w:cs="仿宋_GB2312" w:eastAsia="仿宋_GB2312"/>
              </w:rPr>
              <w:t>次月</w:t>
            </w:r>
            <w:r>
              <w:rPr>
                <w:rFonts w:ascii="仿宋_GB2312" w:hAnsi="仿宋_GB2312" w:cs="仿宋_GB2312" w:eastAsia="仿宋_GB2312"/>
              </w:rPr>
              <w:t>5个工作日内完成上月数据采集、整理，出具月度统计表；每季度结束后次月10个工作日内编制形成季度数据分析；年度统计报告根据项目进度按采购方要求按时提供。</w:t>
            </w:r>
          </w:p>
          <w:p>
            <w:pPr>
              <w:pStyle w:val="null3"/>
              <w:ind w:firstLine="402"/>
              <w:jc w:val="both"/>
            </w:pPr>
            <w:r>
              <w:rPr>
                <w:rFonts w:ascii="仿宋_GB2312" w:hAnsi="仿宋_GB2312" w:cs="仿宋_GB2312" w:eastAsia="仿宋_GB2312"/>
                <w:b/>
              </w:rPr>
              <w:t>（二）成果交付要求</w:t>
            </w:r>
          </w:p>
          <w:p>
            <w:pPr>
              <w:pStyle w:val="null3"/>
              <w:ind w:firstLine="400"/>
              <w:jc w:val="both"/>
            </w:pPr>
            <w:r>
              <w:rPr>
                <w:rFonts w:ascii="仿宋_GB2312" w:hAnsi="仿宋_GB2312" w:cs="仿宋_GB2312" w:eastAsia="仿宋_GB2312"/>
              </w:rPr>
              <w:t>1.提供会展业年度数据库，形成月度会展活动统计表12份、季度会展活动统计表4份、年度会展活动汇总表1份。</w:t>
            </w:r>
          </w:p>
          <w:p>
            <w:pPr>
              <w:pStyle w:val="null3"/>
              <w:ind w:firstLine="400"/>
              <w:jc w:val="both"/>
            </w:pPr>
            <w:r>
              <w:rPr>
                <w:rFonts w:ascii="仿宋_GB2312" w:hAnsi="仿宋_GB2312" w:cs="仿宋_GB2312" w:eastAsia="仿宋_GB2312"/>
              </w:rPr>
              <w:t>2.提供重点会展企业骨干库、成长库和种子库3个数据库。</w:t>
            </w:r>
          </w:p>
          <w:p>
            <w:pPr>
              <w:pStyle w:val="null3"/>
              <w:ind w:firstLine="400"/>
              <w:jc w:val="both"/>
            </w:pPr>
            <w:r>
              <w:rPr>
                <w:rFonts w:ascii="仿宋_GB2312" w:hAnsi="仿宋_GB2312" w:cs="仿宋_GB2312" w:eastAsia="仿宋_GB2312"/>
              </w:rPr>
              <w:t>3.建立会展带动效益测算模型，形成测算分析报告1份。</w:t>
            </w:r>
          </w:p>
          <w:p>
            <w:pPr>
              <w:pStyle w:val="null3"/>
              <w:ind w:firstLine="400"/>
              <w:jc w:val="both"/>
            </w:pPr>
            <w:r>
              <w:rPr>
                <w:rFonts w:ascii="仿宋_GB2312" w:hAnsi="仿宋_GB2312" w:cs="仿宋_GB2312" w:eastAsia="仿宋_GB2312"/>
              </w:rPr>
              <w:t>4.撰写季度数据分析4份、年度统计报告1份。</w:t>
            </w:r>
          </w:p>
          <w:p>
            <w:pPr>
              <w:pStyle w:val="null3"/>
              <w:ind w:firstLine="400"/>
              <w:jc w:val="both"/>
            </w:pPr>
            <w:r>
              <w:rPr>
                <w:rFonts w:ascii="仿宋_GB2312" w:hAnsi="仿宋_GB2312" w:cs="仿宋_GB2312" w:eastAsia="仿宋_GB2312"/>
              </w:rPr>
              <w:t>以上资料提供纸质版</w:t>
            </w:r>
            <w:r>
              <w:rPr>
                <w:rFonts w:ascii="仿宋_GB2312" w:hAnsi="仿宋_GB2312" w:cs="仿宋_GB2312" w:eastAsia="仿宋_GB2312"/>
              </w:rPr>
              <w:t>10份；电子版2份，并刻录U盘。</w:t>
            </w:r>
          </w:p>
          <w:p>
            <w:pPr>
              <w:pStyle w:val="null3"/>
              <w:ind w:firstLine="402"/>
              <w:jc w:val="both"/>
            </w:pPr>
            <w:r>
              <w:rPr>
                <w:rFonts w:ascii="仿宋_GB2312" w:hAnsi="仿宋_GB2312" w:cs="仿宋_GB2312" w:eastAsia="仿宋_GB2312"/>
                <w:b/>
              </w:rPr>
              <w:t>（三）质量验收标准或规范</w:t>
            </w:r>
          </w:p>
          <w:p>
            <w:pPr>
              <w:pStyle w:val="null3"/>
              <w:ind w:firstLine="400"/>
              <w:jc w:val="both"/>
            </w:pPr>
            <w:r>
              <w:rPr>
                <w:rFonts w:ascii="仿宋_GB2312" w:hAnsi="仿宋_GB2312" w:cs="仿宋_GB2312" w:eastAsia="仿宋_GB2312"/>
              </w:rPr>
              <w:t>参考《西安市会展业统计报表制度》和省商务厅关于展览数据统计工作等要求，在规定时间内完成方案设计、数据采集、数据处理、数据呈现、数据分析、报告撰写等各个环节的工作。统计报告做到图文并茂、科学详实，体现西安会展业发展情况、发展成果和前景优势，并按照甲方要求做好验收相关工作。</w:t>
            </w:r>
          </w:p>
          <w:p>
            <w:pPr>
              <w:pStyle w:val="null3"/>
              <w:ind w:firstLine="402"/>
              <w:jc w:val="both"/>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）违约责任</w:t>
            </w:r>
          </w:p>
          <w:p>
            <w:pPr>
              <w:pStyle w:val="null3"/>
              <w:ind w:firstLine="400"/>
              <w:jc w:val="both"/>
            </w:pPr>
            <w:r>
              <w:rPr>
                <w:rFonts w:ascii="仿宋_GB2312" w:hAnsi="仿宋_GB2312" w:cs="仿宋_GB2312" w:eastAsia="仿宋_GB2312"/>
              </w:rPr>
              <w:t>1.按《中华人民共和国民法典》中的相关条款执行。</w:t>
            </w:r>
          </w:p>
          <w:p>
            <w:pPr>
              <w:pStyle w:val="null3"/>
              <w:ind w:firstLine="400"/>
              <w:jc w:val="both"/>
            </w:pPr>
            <w:r>
              <w:rPr>
                <w:rFonts w:ascii="仿宋_GB2312" w:hAnsi="仿宋_GB2312" w:cs="仿宋_GB2312" w:eastAsia="仿宋_GB2312"/>
              </w:rPr>
              <w:t>2.如任意一方不履行合同义务或者履行合同义务不符合约定的，应当承担继续履行、采取补救措施或者赔偿损失等违约责任。</w:t>
            </w:r>
          </w:p>
          <w:p>
            <w:pPr>
              <w:pStyle w:val="null3"/>
              <w:ind w:firstLine="400"/>
              <w:jc w:val="both"/>
            </w:pPr>
            <w:r>
              <w:rPr>
                <w:rFonts w:ascii="仿宋_GB2312" w:hAnsi="仿宋_GB2312" w:cs="仿宋_GB2312" w:eastAsia="仿宋_GB2312"/>
              </w:rPr>
              <w:t>3.因任何一方违约导致合同无法继续履行的，违约方需赔偿守约方合同金额20%的违约金，该违约金不足以弥补守约方实际损失的，违约方应赔偿守约方所有实际损失。</w:t>
            </w:r>
          </w:p>
          <w:p>
            <w:pPr>
              <w:pStyle w:val="null3"/>
              <w:ind w:firstLine="400"/>
              <w:jc w:val="both"/>
            </w:pPr>
            <w:r>
              <w:rPr>
                <w:rFonts w:ascii="仿宋_GB2312" w:hAnsi="仿宋_GB2312" w:cs="仿宋_GB2312" w:eastAsia="仿宋_GB2312"/>
              </w:rPr>
              <w:t>4.如碰到不可抗力因素造成无法按照原计划提供服务的，由甲乙双方协商解决。</w:t>
            </w:r>
          </w:p>
          <w:p>
            <w:pPr>
              <w:pStyle w:val="null3"/>
              <w:jc w:val="both"/>
            </w:pPr>
            <w:r>
              <w:rPr>
                <w:rFonts w:ascii="仿宋_GB2312" w:hAnsi="仿宋_GB2312" w:cs="仿宋_GB2312" w:eastAsia="仿宋_GB2312"/>
                <w:b/>
              </w:rPr>
              <w:t>七、服务范围：本项目包含的所有服务。</w:t>
            </w:r>
          </w:p>
          <w:p>
            <w:pPr>
              <w:pStyle w:val="null3"/>
              <w:jc w:val="both"/>
            </w:pPr>
            <w:r>
              <w:rPr>
                <w:rFonts w:ascii="仿宋_GB2312" w:hAnsi="仿宋_GB2312" w:cs="仿宋_GB2312" w:eastAsia="仿宋_GB2312"/>
                <w:b/>
              </w:rPr>
              <w:t>八、服务标准：合格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成立项目工作小组，配备工作人员，制定服务方案。工作人员需熟悉会展行业和了解相关场馆、企业运作模式，并具备统计、调查及分析工作的经验。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西安市会展业统计报表制度》和省商务厅关于展览数据统计工作等要求，在规定时间内完成方案设计、数据采集、数据处理、数据呈现、数据分析、报告撰写等各个环节的工作。统计报告做到图文并茂、科学详实，体现西安会展业发展情况、发展成果和前景优势，并按照甲方要求做好验收相关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合同签订后，供应商向采购方开具等额的增值税普通发票，采购方收到合规的发票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供应商项目执行结束经验收合格后，向采购方开具等额的增值税普通发票，采购方收到合规的发票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2.如任意一方不履行合同义务或者履行合同义务不符合约定的，应当承担继续履行、采取补救措施或者赔偿损失等违约责任。 3.因任何一方违约导致合同无法继续履行的，违约方需赔偿守约方合同金额20%的违约金，该违约金不足以弥补守约方实际损失的，违约方应赔偿守约方所有实际损失。 4.如碰到不可抗力因素造成无法按照原计划提供服务的，由甲乙双方协商解决。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对本项目理解</w:t>
            </w:r>
          </w:p>
        </w:tc>
        <w:tc>
          <w:tcPr>
            <w:tcW w:type="dxa" w:w="2492"/>
          </w:tcPr>
          <w:p>
            <w:pPr>
              <w:pStyle w:val="null3"/>
            </w:pPr>
            <w:r>
              <w:rPr>
                <w:rFonts w:ascii="仿宋_GB2312" w:hAnsi="仿宋_GB2312" w:cs="仿宋_GB2312" w:eastAsia="仿宋_GB2312"/>
              </w:rPr>
              <w:t>评审内容：①对项目背景理解；②对项目目标的理解。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评审内容：①总体的服务思路；②统计调查方案；③数据收集方案；④报告分析方案。 评审依据：每一项内容描述详细，切实可行符合项目实际内容得4分，①～④项合计得16分。内容①～④项任意一项缺项扣4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评审内容：①工作制度；②工作流程；③工作进度计划。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评审内容：①重难点分析；②风险点分析。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评审内容：①人员组织架构；②分配计划；③人员岗位职责。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评审内容：①服务质量保障措施；②服务进度保障措施；③服务承诺。 评审依据：每一项内容描述详细，切实可行符合项目实际内容得4分，①～③项合计得12分。内容①～③项任意一项缺项扣4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评审内容：①保密承诺；②保密方案；③数据保密措施。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廉洁从业措施</w:t>
            </w:r>
          </w:p>
        </w:tc>
        <w:tc>
          <w:tcPr>
            <w:tcW w:type="dxa" w:w="2492"/>
          </w:tcPr>
          <w:p>
            <w:pPr>
              <w:pStyle w:val="null3"/>
            </w:pPr>
            <w:r>
              <w:rPr>
                <w:rFonts w:ascii="仿宋_GB2312" w:hAnsi="仿宋_GB2312" w:cs="仿宋_GB2312" w:eastAsia="仿宋_GB2312"/>
              </w:rPr>
              <w:t>评审内容：①廉洁从业制度；②廉洁管理办法。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评审内容：①应急预案；②应急处理响应时间；③应急人员安排。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 2023 年5 月 1 日至今类似项目业绩（以合同签订时间或中标通知书时间为准），每提供一项得 2 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评审内容：合理化建议。 评审依据：内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