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F52C2">
      <w:pPr>
        <w:jc w:val="both"/>
        <w:rPr>
          <w:rFonts w:hint="eastAsia" w:ascii="宋体" w:hAnsi="宋体" w:eastAsia="宋体" w:cs="宋体"/>
          <w:b/>
          <w:snapToGrid w:val="0"/>
          <w:sz w:val="48"/>
          <w:szCs w:val="48"/>
          <w:highlight w:val="none"/>
          <w:u w:val="single"/>
        </w:rPr>
      </w:pPr>
    </w:p>
    <w:p w14:paraId="54216530">
      <w:pPr>
        <w:jc w:val="center"/>
        <w:rPr>
          <w:rFonts w:hint="eastAsia" w:ascii="宋体" w:hAnsi="宋体" w:eastAsia="宋体" w:cs="宋体"/>
          <w:b/>
          <w:snapToGrid w:val="0"/>
          <w:sz w:val="48"/>
          <w:szCs w:val="48"/>
          <w:highlight w:val="none"/>
          <w:u w:val="single"/>
        </w:rPr>
      </w:pPr>
    </w:p>
    <w:p w14:paraId="7976C279">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bookmarkStart w:id="0" w:name="_Toc1469"/>
      <w:bookmarkStart w:id="1" w:name="_Toc5552"/>
      <w:bookmarkStart w:id="2" w:name="_Toc1475"/>
      <w:bookmarkStart w:id="3" w:name="_Toc22946"/>
      <w:bookmarkStart w:id="4" w:name="_Toc9646"/>
      <w:r>
        <w:rPr>
          <w:rFonts w:hint="eastAsia" w:ascii="宋体" w:hAnsi="宋体" w:eastAsia="宋体" w:cs="宋体"/>
          <w:b/>
          <w:snapToGrid w:val="0"/>
          <w:sz w:val="48"/>
          <w:szCs w:val="48"/>
          <w:highlight w:val="none"/>
          <w:u w:val="none"/>
        </w:rPr>
        <w:t>西安市会展业第三方统计项目</w:t>
      </w:r>
    </w:p>
    <w:p w14:paraId="56EDE07A">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21"/>
          <w:szCs w:val="21"/>
          <w:highlight w:val="none"/>
          <w:u w:val="none"/>
          <w:lang w:eastAsia="zh-CN"/>
        </w:rPr>
      </w:pPr>
      <w:r>
        <w:rPr>
          <w:rFonts w:hint="eastAsia" w:ascii="宋体" w:hAnsi="宋体" w:eastAsia="宋体" w:cs="宋体"/>
          <w:b/>
          <w:snapToGrid w:val="0"/>
          <w:sz w:val="21"/>
          <w:szCs w:val="21"/>
          <w:highlight w:val="none"/>
          <w:u w:val="none"/>
          <w:lang w:eastAsia="zh-CN"/>
        </w:rPr>
        <w:t>（</w:t>
      </w:r>
      <w:r>
        <w:rPr>
          <w:rFonts w:hint="eastAsia" w:ascii="宋体" w:hAnsi="宋体" w:eastAsia="宋体" w:cs="宋体"/>
          <w:b/>
          <w:snapToGrid w:val="0"/>
          <w:sz w:val="21"/>
          <w:szCs w:val="21"/>
          <w:highlight w:val="none"/>
          <w:u w:val="none"/>
          <w:lang w:val="en-US" w:eastAsia="zh-CN"/>
        </w:rPr>
        <w:t>仅供参考，具体以双方签订合同为准</w:t>
      </w:r>
      <w:r>
        <w:rPr>
          <w:rFonts w:hint="eastAsia" w:ascii="宋体" w:hAnsi="宋体" w:eastAsia="宋体" w:cs="宋体"/>
          <w:b/>
          <w:snapToGrid w:val="0"/>
          <w:sz w:val="21"/>
          <w:szCs w:val="21"/>
          <w:highlight w:val="none"/>
          <w:u w:val="none"/>
          <w:lang w:eastAsia="zh-CN"/>
        </w:rPr>
        <w:t>）</w:t>
      </w:r>
    </w:p>
    <w:p w14:paraId="6FAE04FE">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p>
    <w:p w14:paraId="2EF11F51">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bookmarkStart w:id="16" w:name="_GoBack"/>
      <w:bookmarkEnd w:id="16"/>
    </w:p>
    <w:p w14:paraId="511121C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宋体" w:hAnsi="宋体" w:eastAsia="宋体" w:cs="宋体"/>
          <w:b/>
          <w:snapToGrid w:val="0"/>
          <w:sz w:val="48"/>
          <w:szCs w:val="48"/>
          <w:highlight w:val="none"/>
          <w:u w:val="none"/>
        </w:rPr>
      </w:pPr>
      <w:r>
        <w:rPr>
          <w:rFonts w:hint="eastAsia" w:ascii="宋体" w:hAnsi="宋体" w:eastAsia="宋体" w:cs="宋体"/>
          <w:b/>
          <w:snapToGrid w:val="0"/>
          <w:sz w:val="48"/>
          <w:szCs w:val="48"/>
          <w:highlight w:val="none"/>
          <w:u w:val="none"/>
        </w:rPr>
        <w:t>服务合同</w:t>
      </w:r>
      <w:bookmarkEnd w:id="0"/>
      <w:bookmarkEnd w:id="1"/>
      <w:bookmarkEnd w:id="2"/>
      <w:bookmarkEnd w:id="3"/>
      <w:bookmarkEnd w:id="4"/>
    </w:p>
    <w:p w14:paraId="55598EFE">
      <w:pPr>
        <w:pStyle w:val="2"/>
        <w:rPr>
          <w:rFonts w:hint="eastAsia" w:ascii="宋体" w:hAnsi="宋体" w:eastAsia="宋体" w:cs="宋体"/>
        </w:rPr>
      </w:pPr>
    </w:p>
    <w:p w14:paraId="5FCB6199">
      <w:pPr>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（项目编号：</w:t>
      </w:r>
      <w:r>
        <w:rPr>
          <w:rFonts w:hint="eastAsia" w:ascii="宋体" w:hAnsi="宋体" w:cs="宋体"/>
          <w:sz w:val="30"/>
          <w:szCs w:val="30"/>
          <w:highlight w:val="none"/>
          <w:lang w:val="en-US" w:eastAsia="zh-CN"/>
        </w:rPr>
        <w:t xml:space="preserve"> </w:t>
      </w:r>
      <w:r>
        <w:rPr>
          <w:rFonts w:hint="eastAsia" w:ascii="宋体" w:hAnsi="宋体" w:cs="宋体"/>
          <w:sz w:val="30"/>
          <w:szCs w:val="30"/>
          <w:highlight w:val="none"/>
          <w:u w:val="single"/>
          <w:lang w:val="en-US" w:eastAsia="zh-CN"/>
        </w:rPr>
        <w:t xml:space="preserve">                   </w:t>
      </w:r>
      <w:r>
        <w:rPr>
          <w:rFonts w:hint="eastAsia" w:ascii="宋体" w:hAnsi="宋体" w:eastAsia="宋体" w:cs="宋体"/>
          <w:sz w:val="28"/>
          <w:szCs w:val="28"/>
          <w:highlight w:val="none"/>
        </w:rPr>
        <w:t>）</w:t>
      </w:r>
    </w:p>
    <w:p w14:paraId="0C11ECD2">
      <w:pPr>
        <w:jc w:val="center"/>
        <w:rPr>
          <w:rFonts w:hint="eastAsia" w:ascii="宋体" w:hAnsi="宋体" w:eastAsia="宋体" w:cs="宋体"/>
          <w:sz w:val="30"/>
          <w:szCs w:val="30"/>
          <w:highlight w:val="none"/>
        </w:rPr>
      </w:pPr>
    </w:p>
    <w:p w14:paraId="03D44AD0">
      <w:pPr>
        <w:jc w:val="center"/>
        <w:rPr>
          <w:rFonts w:hint="eastAsia" w:ascii="宋体" w:hAnsi="宋体" w:eastAsia="宋体" w:cs="宋体"/>
          <w:sz w:val="30"/>
          <w:szCs w:val="30"/>
          <w:highlight w:val="none"/>
        </w:rPr>
      </w:pPr>
    </w:p>
    <w:p w14:paraId="38B295CA">
      <w:pPr>
        <w:pStyle w:val="2"/>
        <w:ind w:left="0" w:leftChars="0" w:firstLine="0" w:firstLineChars="0"/>
        <w:rPr>
          <w:rFonts w:hint="eastAsia" w:ascii="宋体" w:hAnsi="宋体" w:eastAsia="宋体" w:cs="宋体"/>
          <w:sz w:val="30"/>
          <w:szCs w:val="30"/>
          <w:highlight w:val="none"/>
        </w:rPr>
      </w:pPr>
    </w:p>
    <w:p w14:paraId="52578F59">
      <w:pPr>
        <w:pStyle w:val="2"/>
        <w:ind w:left="0" w:leftChars="0" w:firstLine="0" w:firstLineChars="0"/>
        <w:rPr>
          <w:rFonts w:hint="eastAsia" w:ascii="宋体" w:hAnsi="宋体" w:eastAsia="宋体" w:cs="宋体"/>
          <w:sz w:val="30"/>
          <w:szCs w:val="30"/>
          <w:highlight w:val="none"/>
        </w:rPr>
      </w:pPr>
    </w:p>
    <w:p w14:paraId="63CE2CE0">
      <w:pPr>
        <w:pStyle w:val="2"/>
        <w:rPr>
          <w:rFonts w:hint="eastAsia" w:ascii="宋体" w:hAnsi="宋体" w:eastAsia="宋体" w:cs="宋体"/>
          <w:sz w:val="30"/>
          <w:szCs w:val="30"/>
          <w:highlight w:val="none"/>
        </w:rPr>
      </w:pPr>
    </w:p>
    <w:p w14:paraId="703E6072">
      <w:pPr>
        <w:pStyle w:val="2"/>
        <w:rPr>
          <w:rFonts w:hint="eastAsia" w:ascii="宋体" w:hAnsi="宋体" w:eastAsia="宋体" w:cs="宋体"/>
          <w:sz w:val="30"/>
          <w:szCs w:val="30"/>
          <w:highlight w:val="none"/>
        </w:rPr>
      </w:pPr>
    </w:p>
    <w:p w14:paraId="019F1226">
      <w:pPr>
        <w:jc w:val="center"/>
        <w:rPr>
          <w:rFonts w:hint="eastAsia" w:ascii="宋体" w:hAnsi="宋体" w:eastAsia="宋体" w:cs="宋体"/>
          <w:sz w:val="30"/>
          <w:szCs w:val="30"/>
          <w:highlight w:val="none"/>
        </w:rPr>
      </w:pPr>
    </w:p>
    <w:p w14:paraId="7E46DD48">
      <w:pPr>
        <w:ind w:firstLine="2080" w:firstLineChars="65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lang w:val="en-US" w:eastAsia="zh-Hans"/>
        </w:rPr>
        <w:t>西安市商务局</w:t>
      </w:r>
      <w:r>
        <w:rPr>
          <w:rFonts w:hint="eastAsia" w:ascii="宋体" w:hAnsi="宋体" w:eastAsia="宋体" w:cs="宋体"/>
          <w:sz w:val="32"/>
          <w:szCs w:val="32"/>
          <w:highlight w:val="none"/>
        </w:rPr>
        <w:t xml:space="preserve"> </w:t>
      </w:r>
    </w:p>
    <w:p w14:paraId="4303FA7A">
      <w:pPr>
        <w:tabs>
          <w:tab w:val="left" w:pos="480"/>
        </w:tabs>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6F185AB3">
      <w:pPr>
        <w:jc w:val="both"/>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w:t>
      </w:r>
    </w:p>
    <w:p w14:paraId="487C1DA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pPr>
    </w:p>
    <w:p w14:paraId="203DD5AB">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甲方（采购人）：</w:t>
      </w:r>
    </w:p>
    <w:p w14:paraId="1DE84BCB">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bCs w:val="0"/>
          <w:color w:val="auto"/>
          <w:sz w:val="24"/>
          <w:szCs w:val="24"/>
          <w:highlight w:val="none"/>
        </w:rPr>
        <w:t xml:space="preserve">乙方（成交供应商）： </w:t>
      </w:r>
    </w:p>
    <w:p w14:paraId="27BFFDC1">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lang w:val="en-US" w:eastAsia="zh-CN"/>
        </w:rPr>
        <w:t>项目名称</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(项目编号)</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陕西中鉴项目管理有限公司</w:t>
      </w:r>
      <w:r>
        <w:rPr>
          <w:rFonts w:hint="eastAsia" w:ascii="宋体" w:hAnsi="宋体" w:eastAsia="宋体" w:cs="宋体"/>
          <w:bCs/>
          <w:color w:val="auto"/>
          <w:sz w:val="24"/>
          <w:szCs w:val="24"/>
          <w:highlight w:val="none"/>
        </w:rPr>
        <w:t>组织竞争性磋商采购，</w:t>
      </w:r>
      <w:r>
        <w:rPr>
          <w:rFonts w:hint="eastAsia" w:ascii="宋体" w:hAnsi="宋体" w:eastAsia="宋体" w:cs="宋体"/>
          <w:bCs/>
          <w:color w:val="auto"/>
          <w:sz w:val="24"/>
          <w:szCs w:val="24"/>
          <w:highlight w:val="none"/>
          <w:u w:val="single"/>
        </w:rPr>
        <w:t xml:space="preserve">  西安市商务局 </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（以下简称“乙方”）为成交供应商。</w:t>
      </w:r>
    </w:p>
    <w:p w14:paraId="1557B94D">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w:t>
      </w:r>
      <w:r>
        <w:rPr>
          <w:rFonts w:hint="eastAsia" w:ascii="宋体" w:hAnsi="宋体" w:eastAsia="宋体" w:cs="宋体"/>
          <w:bCs/>
          <w:color w:val="auto"/>
          <w:sz w:val="24"/>
          <w:szCs w:val="24"/>
          <w:highlight w:val="none"/>
          <w:lang w:val="en-US" w:eastAsia="zh-CN"/>
        </w:rPr>
        <w:t>民法典</w:t>
      </w:r>
      <w:r>
        <w:rPr>
          <w:rFonts w:hint="eastAsia" w:ascii="宋体" w:hAnsi="宋体" w:eastAsia="宋体" w:cs="宋体"/>
          <w:bCs/>
          <w:color w:val="auto"/>
          <w:sz w:val="24"/>
          <w:szCs w:val="24"/>
          <w:highlight w:val="none"/>
        </w:rPr>
        <w:t>》和《</w:t>
      </w:r>
      <w:r>
        <w:rPr>
          <w:rFonts w:hint="eastAsia" w:ascii="宋体" w:hAnsi="宋体" w:eastAsia="宋体" w:cs="宋体"/>
          <w:color w:val="auto"/>
          <w:sz w:val="24"/>
          <w:szCs w:val="24"/>
          <w:highlight w:val="none"/>
        </w:rPr>
        <w:t>中华人民共和国政府采购法</w:t>
      </w:r>
      <w:r>
        <w:rPr>
          <w:rFonts w:hint="eastAsia" w:ascii="宋体" w:hAnsi="宋体" w:eastAsia="宋体" w:cs="宋体"/>
          <w:bCs/>
          <w:color w:val="auto"/>
          <w:sz w:val="24"/>
          <w:szCs w:val="24"/>
          <w:highlight w:val="none"/>
        </w:rPr>
        <w:t>》，经双方协商按下述条款和条件签署本合同。</w:t>
      </w:r>
    </w:p>
    <w:p w14:paraId="6D333765">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一、服务</w:t>
      </w:r>
      <w:r>
        <w:rPr>
          <w:rFonts w:hint="eastAsia" w:ascii="宋体" w:hAnsi="宋体" w:eastAsia="宋体" w:cs="宋体"/>
          <w:b/>
          <w:bCs/>
          <w:color w:val="auto"/>
          <w:sz w:val="24"/>
          <w:szCs w:val="24"/>
          <w:highlight w:val="none"/>
        </w:rPr>
        <w:t>内容</w:t>
      </w:r>
    </w:p>
    <w:p w14:paraId="047C4C49">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（一）会展业基础统计</w:t>
      </w:r>
    </w:p>
    <w:p w14:paraId="3CAD6DD3">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开展展会项目统计调查以展览项目统计调查为主，兼顾规模以上的会议活动和促销会。统计对象包括会展活动重点场所、会展活动组织单位、会展服务商、会展活动的延伸企业等。</w:t>
      </w:r>
    </w:p>
    <w:p w14:paraId="6E187D60">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1.展览项目统计调查指标包括展会名称、所在展馆、主承办单位、展出时间、总展览天数、展出面积、行业分类（一、二类）展出形式、参展公司数量、观众人数、意向成交额或实际成交额等。</w:t>
      </w:r>
    </w:p>
    <w:p w14:paraId="123CF2C5">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2.会议活动统计调查指标包括会议名称、举办地点、主承办单位、会议时间、参会人数、会议面积等。</w:t>
      </w:r>
    </w:p>
    <w:p w14:paraId="07805E52">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3.促销会统计调查指标包括活动名称、举办地点、主承办单位、活动时间、参展公司数量、观众人数、成交额等。</w:t>
      </w:r>
    </w:p>
    <w:p w14:paraId="37D51014">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（二）会展业延伸统计</w:t>
      </w:r>
    </w:p>
    <w:p w14:paraId="6363862E">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1.完善重点会展企业动态数据库：分类别优化骨干库、成长库、种子库3个重点会展企业库，实时更新企业数量、名称、所属区县、业务类型、营收情况、运营项目等数据，精准掌握企业发展态势。</w:t>
      </w:r>
    </w:p>
    <w:p w14:paraId="665595D4">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2.科学测算会展带动效益：结合展会规模、参展人数、交易数据等指标，建立专业测算模型，核算会展业对我市住宿、餐饮、交通、旅游、零售等关联产业的拉动作用，量化会展经济综合贡献值。</w:t>
      </w:r>
    </w:p>
    <w:p w14:paraId="78B9D964">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3.开展重点展会绩效评估：调研我市重点展会运作情况，从城市消费、产业发展、社会就业等维度开展绩效评估，全面反映展会综合带动作用。</w:t>
      </w:r>
    </w:p>
    <w:p w14:paraId="73CBBDE7">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推进重点会展城市对比分析：收集整理全国15个副省级城市会展核心数据，从展览数量、面积、展馆承载力、利用率、会议竞争力、政策出台情况等方面开展对比分析，精准定位我市会展业发展位次，挖掘优势与潜力。</w:t>
      </w:r>
    </w:p>
    <w:p w14:paraId="7A22251F">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二、</w:t>
      </w:r>
      <w:r>
        <w:rPr>
          <w:rFonts w:hint="eastAsia" w:ascii="宋体" w:hAnsi="宋体" w:eastAsia="宋体" w:cs="宋体"/>
          <w:b/>
          <w:bCs/>
          <w:color w:val="auto"/>
          <w:sz w:val="24"/>
          <w:szCs w:val="24"/>
          <w:highlight w:val="none"/>
          <w:lang w:val="en-US" w:eastAsia="zh-CN"/>
        </w:rPr>
        <w:t>技术要求</w:t>
      </w:r>
    </w:p>
    <w:p w14:paraId="2CF832DE">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对数据处理软件进行使用，解决数据处理软件在使用过程中出现的技术问题。</w:t>
      </w:r>
    </w:p>
    <w:p w14:paraId="4391E545">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服务要求</w:t>
      </w:r>
    </w:p>
    <w:p w14:paraId="14A48C4D">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（一）服务标准</w:t>
      </w:r>
    </w:p>
    <w:p w14:paraId="17714226">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按照《西安市会展业统计报表制度》和省商务厅关于展览数据统计工作等要求，开展会展业统计服务，完成当年度西安市区域内举办展览、会议、展销等展会活动的统计工作，按时提供月度、季度、年度统计数据收集汇总，开展季度数据分析和年度统计分析报告。</w:t>
      </w:r>
    </w:p>
    <w:p w14:paraId="0F7E2C51">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（二）人员配置</w:t>
      </w:r>
    </w:p>
    <w:p w14:paraId="1D0C3F61">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成立项目工作小组，配备工作人员，制定服务方案。工作人员需熟悉会展行业和了解相关场馆、企业运作模式，并具备统计、调查及分析工作的经验。</w:t>
      </w:r>
    </w:p>
    <w:p w14:paraId="11D619CD">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、合同价款</w:t>
      </w:r>
    </w:p>
    <w:p w14:paraId="0B1F125E">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（一）合同总价款为人民币（大写）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元）。</w:t>
      </w:r>
    </w:p>
    <w:p w14:paraId="69F0AB3E">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（二）合同总价包括：</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人员费、税金等乙方</w:t>
      </w:r>
      <w:r>
        <w:rPr>
          <w:rFonts w:hint="eastAsia" w:ascii="宋体" w:hAnsi="宋体" w:eastAsia="宋体" w:cs="宋体"/>
          <w:color w:val="auto"/>
          <w:sz w:val="24"/>
          <w:szCs w:val="24"/>
          <w:highlight w:val="none"/>
        </w:rPr>
        <w:t>完成本次招标所要求</w:t>
      </w:r>
      <w:r>
        <w:rPr>
          <w:rFonts w:hint="eastAsia" w:ascii="宋体" w:hAnsi="宋体" w:eastAsia="宋体" w:cs="宋体"/>
          <w:color w:val="auto"/>
          <w:sz w:val="24"/>
          <w:szCs w:val="24"/>
          <w:highlight w:val="none"/>
          <w:lang w:val="en-US" w:eastAsia="zh-CN"/>
        </w:rPr>
        <w:t>全部</w:t>
      </w:r>
      <w:r>
        <w:rPr>
          <w:rFonts w:hint="eastAsia" w:ascii="宋体" w:hAnsi="宋体" w:eastAsia="宋体" w:cs="宋体"/>
          <w:color w:val="auto"/>
          <w:sz w:val="24"/>
          <w:szCs w:val="24"/>
          <w:highlight w:val="none"/>
        </w:rPr>
        <w:t>服务至</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验收合格的一切相关费用。</w:t>
      </w:r>
    </w:p>
    <w:p w14:paraId="75BA16DA">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（三）合同总价为固定总价，不受市场价格变化因素的影响。</w:t>
      </w:r>
    </w:p>
    <w:p w14:paraId="4D6AA4FB">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地点及</w:t>
      </w:r>
      <w:r>
        <w:rPr>
          <w:rFonts w:hint="eastAsia" w:ascii="宋体" w:hAnsi="宋体" w:eastAsia="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期</w:t>
      </w:r>
    </w:p>
    <w:p w14:paraId="6BBC0DB7">
      <w:pPr>
        <w:keepNext w:val="0"/>
        <w:keepLines w:val="0"/>
        <w:pageBreakBefore w:val="0"/>
        <w:widowControl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（一）</w:t>
      </w:r>
      <w:r>
        <w:rPr>
          <w:rFonts w:hint="eastAsia" w:ascii="宋体" w:hAnsi="宋体" w:eastAsia="宋体" w:cs="宋体"/>
          <w:color w:val="auto"/>
          <w:sz w:val="24"/>
          <w:szCs w:val="24"/>
          <w:highlight w:val="none"/>
          <w:lang w:val="en-US" w:eastAsia="zh-CN"/>
        </w:rPr>
        <w:t>服务</w:t>
      </w:r>
      <w:r>
        <w:rPr>
          <w:rFonts w:hint="eastAsia" w:ascii="宋体" w:hAnsi="宋体" w:eastAsia="宋体" w:cs="宋体"/>
          <w:bCs/>
          <w:color w:val="auto"/>
          <w:sz w:val="24"/>
          <w:szCs w:val="24"/>
          <w:highlight w:val="none"/>
        </w:rPr>
        <w:t>期：自合同签订之日至项目结束。</w:t>
      </w:r>
    </w:p>
    <w:p w14:paraId="355A79F4">
      <w:pPr>
        <w:keepNext w:val="0"/>
        <w:keepLines w:val="0"/>
        <w:pageBreakBefore w:val="0"/>
        <w:widowControl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（二）</w:t>
      </w:r>
      <w:r>
        <w:rPr>
          <w:rFonts w:hint="eastAsia" w:ascii="宋体" w:hAnsi="宋体" w:eastAsia="宋体" w:cs="宋体"/>
          <w:bCs/>
          <w:color w:val="auto"/>
          <w:sz w:val="24"/>
          <w:szCs w:val="24"/>
          <w:highlight w:val="none"/>
          <w:lang w:val="en-US" w:eastAsia="zh-CN"/>
        </w:rPr>
        <w:t>服务</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采购人</w:t>
      </w:r>
      <w:r>
        <w:rPr>
          <w:rFonts w:hint="eastAsia" w:ascii="宋体" w:hAnsi="宋体" w:eastAsia="宋体" w:cs="宋体"/>
          <w:bCs/>
          <w:color w:val="auto"/>
          <w:sz w:val="24"/>
          <w:szCs w:val="24"/>
          <w:highlight w:val="none"/>
          <w:u w:val="single"/>
        </w:rPr>
        <w:t xml:space="preserve">指定地点  </w:t>
      </w:r>
      <w:r>
        <w:rPr>
          <w:rFonts w:hint="eastAsia" w:ascii="宋体" w:hAnsi="宋体" w:eastAsia="宋体" w:cs="宋体"/>
          <w:bCs/>
          <w:color w:val="auto"/>
          <w:sz w:val="24"/>
          <w:szCs w:val="24"/>
          <w:highlight w:val="none"/>
        </w:rPr>
        <w:t>。</w:t>
      </w:r>
    </w:p>
    <w:p w14:paraId="3E1A7FEB">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、付款</w:t>
      </w:r>
    </w:p>
    <w:p w14:paraId="0AC8B69D">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bookmarkStart w:id="5" w:name="_Toc12322"/>
      <w:bookmarkStart w:id="6" w:name="_Toc29562"/>
      <w:r>
        <w:rPr>
          <w:rFonts w:hint="eastAsia" w:ascii="宋体" w:hAnsi="宋体" w:eastAsia="宋体" w:cs="宋体"/>
          <w:b w:val="0"/>
          <w:bCs w:val="0"/>
          <w:color w:val="auto"/>
          <w:kern w:val="2"/>
          <w:sz w:val="24"/>
          <w:szCs w:val="24"/>
          <w:lang w:val="en-US" w:eastAsia="zh-CN" w:bidi="ar-SA"/>
        </w:rPr>
        <w:t>1、</w:t>
      </w:r>
      <w:r>
        <w:rPr>
          <w:rFonts w:hint="eastAsia" w:ascii="宋体" w:hAnsi="宋体" w:eastAsia="宋体" w:cs="宋体"/>
          <w:b w:val="0"/>
          <w:bCs w:val="0"/>
          <w:color w:val="auto"/>
          <w:sz w:val="24"/>
          <w:szCs w:val="24"/>
          <w:highlight w:val="none"/>
          <w:lang w:val="en-US" w:eastAsia="zh-CN"/>
        </w:rPr>
        <w:t>付款条件说明： 合同签订后，供应商向采购方开具等额的增值税普通发票，采购方收到合规的发票 ，达到付款条件起 30日内，支付合同总金额的 60.00%。</w:t>
      </w:r>
    </w:p>
    <w:p w14:paraId="4FB4698C">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lang w:val="en-US" w:eastAsia="zh-CN" w:bidi="ar-SA"/>
        </w:rPr>
        <w:t>2、</w:t>
      </w:r>
      <w:r>
        <w:rPr>
          <w:rFonts w:hint="eastAsia" w:ascii="宋体" w:hAnsi="宋体" w:eastAsia="宋体" w:cs="宋体"/>
          <w:b w:val="0"/>
          <w:bCs w:val="0"/>
          <w:color w:val="auto"/>
          <w:sz w:val="24"/>
          <w:szCs w:val="24"/>
          <w:highlight w:val="none"/>
          <w:lang w:val="en-US" w:eastAsia="zh-CN"/>
        </w:rPr>
        <w:t>付款条件说明： 供应商项目执行结束经验收合格后，向采购方开具等额的增值税普通发票，采购方收到合规的发票 ，达到付款条件起 30 日内，支付合同总金额的 40.00%。</w:t>
      </w:r>
    </w:p>
    <w:p w14:paraId="52B31D0F">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甲方的权利与义务</w:t>
      </w:r>
    </w:p>
    <w:p w14:paraId="49218992">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1、甲方权利</w:t>
      </w:r>
    </w:p>
    <w:p w14:paraId="177C5097">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1.1甲方有权按照竞争性磋商文件及竞争性磋商响应文件要求和标准对本次服务项目的实施进行监督，有权对乙方的服务工作提出意见或具体要求，乙方应在规定的时间内进行修改、完善。</w:t>
      </w:r>
    </w:p>
    <w:p w14:paraId="7BFC80A6">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1.2乙方未能按照合同约定、竞争性磋商响应文件要求和标准或甲方要求完成本合同项下任何一项义务的，甲方有权扣除相应部分的费用。</w:t>
      </w:r>
    </w:p>
    <w:p w14:paraId="00986DAB">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2、甲方义务：积极配合乙方服务过程中的沟通协调工作。</w:t>
      </w:r>
    </w:p>
    <w:p w14:paraId="50ECAE13">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八、乙方的权利与义务</w:t>
      </w:r>
    </w:p>
    <w:p w14:paraId="4FFD7EF2">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1、乙方权利：按照合同约定要求甲方及时付款。</w:t>
      </w:r>
    </w:p>
    <w:p w14:paraId="34834BA0">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2、乙方义务：</w:t>
      </w:r>
    </w:p>
    <w:p w14:paraId="7419EE23">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乙方应严格按照竞争性磋商响应文件要求和标准以及本合同的约定制定具体服务方案（服务方案应涉及各服务项目具体完成时间）并将服务方案交付甲方。乙方须严格按照服务方案执行，确保合同目的实现。乙方在履行本合同的过程中应配合甲方的考核验收工作，对甲方的建议及要求，应严格执行。</w:t>
      </w:r>
    </w:p>
    <w:p w14:paraId="33D89D81">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甲方与乙方所有参与本合同项目的人员不存在劳动关系。乙方应当按时向其员工支付工资或报酬，并按约定向合作方或者供应商支付款项，若乙方未按时支付上述款项，导致任何第三方向甲方主张的，甲方有权要求乙方双倍赔偿。</w:t>
      </w:r>
    </w:p>
    <w:p w14:paraId="39158C2A">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2.3项目期间产生的一切经济纠纷，包括但不限于乙方同自身员工、其他第三方之间的纠纷等均由乙方负责处理并承担相关责任，甲方对此不承担任何责任。若甲方因此承担责任的，有权向乙方追偿，同时乙方应向甲方支付合同总价款10%的违约金。</w:t>
      </w:r>
    </w:p>
    <w:p w14:paraId="5D045512">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2.4项目结束后，乙方应制作书面项目总结报告，并交付甲方。</w:t>
      </w:r>
    </w:p>
    <w:p w14:paraId="1826FD1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sz w:val="24"/>
          <w:szCs w:val="24"/>
        </w:rPr>
        <w:t>乙方应保证</w:t>
      </w:r>
      <w:r>
        <w:rPr>
          <w:rFonts w:hint="eastAsia" w:ascii="宋体" w:hAnsi="宋体" w:eastAsia="宋体" w:cs="宋体"/>
          <w:sz w:val="24"/>
          <w:szCs w:val="24"/>
          <w:lang w:val="en-US" w:eastAsia="zh-CN"/>
        </w:rPr>
        <w:t>统计数据</w:t>
      </w:r>
      <w:r>
        <w:rPr>
          <w:rFonts w:hint="eastAsia" w:ascii="宋体" w:hAnsi="宋体" w:eastAsia="宋体" w:cs="宋体"/>
          <w:sz w:val="24"/>
          <w:szCs w:val="24"/>
        </w:rPr>
        <w:t>的真实性</w:t>
      </w:r>
      <w:r>
        <w:rPr>
          <w:rFonts w:hint="eastAsia" w:ascii="宋体" w:hAnsi="宋体" w:eastAsia="宋体" w:cs="宋体"/>
          <w:sz w:val="24"/>
          <w:szCs w:val="24"/>
          <w:lang w:eastAsia="zh-CN"/>
        </w:rPr>
        <w:t>、</w:t>
      </w:r>
      <w:r>
        <w:rPr>
          <w:rFonts w:hint="eastAsia" w:ascii="宋体" w:hAnsi="宋体" w:eastAsia="宋体" w:cs="宋体"/>
          <w:sz w:val="24"/>
          <w:szCs w:val="24"/>
        </w:rPr>
        <w:t>客观性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科学性</w:t>
      </w:r>
      <w:r>
        <w:rPr>
          <w:rFonts w:hint="eastAsia" w:ascii="宋体" w:hAnsi="宋体" w:eastAsia="宋体" w:cs="宋体"/>
          <w:sz w:val="24"/>
          <w:szCs w:val="24"/>
        </w:rPr>
        <w:t>,不得有重大遗漏、</w:t>
      </w:r>
      <w:r>
        <w:rPr>
          <w:rFonts w:hint="eastAsia" w:ascii="宋体" w:hAnsi="宋体" w:eastAsia="宋体" w:cs="宋体"/>
          <w:sz w:val="24"/>
          <w:szCs w:val="24"/>
          <w:lang w:val="en-US" w:eastAsia="zh-CN"/>
        </w:rPr>
        <w:t>瞒报、</w:t>
      </w:r>
      <w:r>
        <w:rPr>
          <w:rFonts w:hint="eastAsia" w:ascii="宋体" w:hAnsi="宋体" w:eastAsia="宋体" w:cs="宋体"/>
          <w:sz w:val="24"/>
          <w:szCs w:val="24"/>
        </w:rPr>
        <w:t>错误或其他不符合国家、行业协会相关规定的情形,否则,甲方有权单方解除本</w:t>
      </w:r>
      <w:r>
        <w:rPr>
          <w:rFonts w:hint="eastAsia" w:ascii="宋体" w:hAnsi="宋体" w:eastAsia="宋体" w:cs="宋体"/>
          <w:sz w:val="24"/>
          <w:szCs w:val="24"/>
          <w:lang w:val="en-US" w:eastAsia="zh-CN"/>
        </w:rPr>
        <w:t>合同</w:t>
      </w:r>
      <w:r>
        <w:rPr>
          <w:rFonts w:hint="eastAsia" w:ascii="宋体" w:hAnsi="宋体" w:eastAsia="宋体" w:cs="宋体"/>
          <w:sz w:val="24"/>
          <w:szCs w:val="24"/>
        </w:rPr>
        <w:t>,并要求乙方按照本约定书总金额的</w:t>
      </w:r>
      <w:r>
        <w:rPr>
          <w:rFonts w:hint="eastAsia" w:ascii="宋体" w:hAnsi="宋体" w:eastAsia="宋体" w:cs="宋体"/>
          <w:sz w:val="24"/>
          <w:szCs w:val="24"/>
          <w:lang w:val="en-US" w:eastAsia="zh-CN"/>
        </w:rPr>
        <w:t>20</w:t>
      </w:r>
      <w:r>
        <w:rPr>
          <w:rFonts w:hint="eastAsia" w:ascii="宋体" w:hAnsi="宋体" w:eastAsia="宋体" w:cs="宋体"/>
          <w:sz w:val="24"/>
          <w:szCs w:val="24"/>
        </w:rPr>
        <w:t>%支付违约金。</w:t>
      </w:r>
    </w:p>
    <w:p w14:paraId="6CA69F06">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九、知识产权</w:t>
      </w:r>
    </w:p>
    <w:p w14:paraId="4C000A4D">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val="0"/>
          <w:bCs w:val="0"/>
          <w:color w:val="auto"/>
          <w:sz w:val="24"/>
          <w:szCs w:val="24"/>
          <w:highlight w:val="none"/>
          <w:lang w:val="en-US" w:eastAsia="zh-CN"/>
        </w:rPr>
      </w:pPr>
      <w:bookmarkStart w:id="7" w:name="_Toc22161"/>
      <w:bookmarkStart w:id="8" w:name="_Toc12975"/>
      <w:bookmarkStart w:id="9" w:name="_Toc20183"/>
      <w:r>
        <w:rPr>
          <w:rFonts w:hint="eastAsia" w:ascii="宋体" w:hAnsi="宋体" w:eastAsia="宋体" w:cs="宋体"/>
          <w:b w:val="0"/>
          <w:bCs w:val="0"/>
          <w:color w:val="auto"/>
          <w:sz w:val="24"/>
          <w:szCs w:val="24"/>
          <w:highlight w:val="none"/>
          <w:lang w:val="en-US" w:eastAsia="zh-CN"/>
        </w:rPr>
        <w:t>本项目结束后，项目成果所有权、知识产权归甲方所有，乙方不得以任何理由干涉甲方对项目成果的使用。</w:t>
      </w:r>
      <w:bookmarkEnd w:id="7"/>
      <w:bookmarkEnd w:id="8"/>
      <w:bookmarkEnd w:id="9"/>
    </w:p>
    <w:p w14:paraId="5B9CEADA">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其它事项</w:t>
      </w:r>
      <w:bookmarkEnd w:id="5"/>
      <w:bookmarkEnd w:id="6"/>
    </w:p>
    <w:p w14:paraId="2B355C8C">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（一）乙方不得转让、分包给其它单位或个人。</w:t>
      </w:r>
    </w:p>
    <w:p w14:paraId="3E018F83">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（二）乙方的响应文件和承诺等内容将列入合同。</w:t>
      </w:r>
    </w:p>
    <w:p w14:paraId="1CFCD257">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三</w:t>
      </w:r>
      <w:r>
        <w:rPr>
          <w:rFonts w:hint="eastAsia" w:ascii="宋体" w:hAnsi="宋体" w:eastAsia="宋体" w:cs="宋体"/>
          <w:bCs/>
          <w:color w:val="auto"/>
          <w:sz w:val="24"/>
          <w:szCs w:val="24"/>
          <w:highlight w:val="none"/>
        </w:rPr>
        <w:t>）进度要求</w:t>
      </w:r>
    </w:p>
    <w:p w14:paraId="26873CDC">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次月5个工作日内完成上月数据采集、整理，出具月度统计表；每季度结束后次月10个工作日内编制形成季度数据分析；年度统计报告根据项目进度按采购方要求按时提供。</w:t>
      </w:r>
    </w:p>
    <w:p w14:paraId="634CEDF5">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四</w:t>
      </w:r>
      <w:r>
        <w:rPr>
          <w:rFonts w:hint="eastAsia" w:ascii="宋体" w:hAnsi="宋体" w:eastAsia="宋体" w:cs="宋体"/>
          <w:bCs/>
          <w:color w:val="auto"/>
          <w:sz w:val="24"/>
          <w:szCs w:val="24"/>
          <w:highlight w:val="none"/>
        </w:rPr>
        <w:t>）成果交付要求</w:t>
      </w:r>
    </w:p>
    <w:p w14:paraId="17705F0F">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1.提供会展业年度数据库，形成月度会展活动统计表12份、季度会展活动统计表4份、年度会展活动汇总表1份。</w:t>
      </w:r>
    </w:p>
    <w:p w14:paraId="521398B4">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2.提供重点会展企业骨干库、成长库和种子库3个数据库。</w:t>
      </w:r>
    </w:p>
    <w:p w14:paraId="030A7437">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3.建立会展带动效益测算模型，形成测算分析报告1份。</w:t>
      </w:r>
    </w:p>
    <w:p w14:paraId="05E71261">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.撰写季度数据分析4份、年度统计报告1份。</w:t>
      </w:r>
    </w:p>
    <w:p w14:paraId="526C412C">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以上资料提供纸质版10份；电子版2份，并刻录U盘。</w:t>
      </w:r>
    </w:p>
    <w:p w14:paraId="4F2A01F8">
      <w:pPr>
        <w:pStyle w:val="3"/>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b/>
          <w:bCs/>
          <w:color w:val="auto"/>
          <w:kern w:val="0"/>
          <w:sz w:val="24"/>
          <w:szCs w:val="24"/>
          <w:highlight w:val="none"/>
        </w:rPr>
      </w:pPr>
      <w:bookmarkStart w:id="10" w:name="_Toc32637"/>
      <w:bookmarkStart w:id="11" w:name="_Toc9857"/>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、违约责任</w:t>
      </w:r>
      <w:bookmarkEnd w:id="10"/>
      <w:bookmarkEnd w:id="11"/>
    </w:p>
    <w:p w14:paraId="34ECC84D">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1.按《中华人民共和国民法典》中的相关条款执行。</w:t>
      </w:r>
    </w:p>
    <w:p w14:paraId="611380D9">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2.如任意一方不履行合同义务或者履行合同义务不符合约定的，应当承担继续履行、采取补救措施或者赔偿损失等违约责任。</w:t>
      </w:r>
    </w:p>
    <w:p w14:paraId="2D4FAF52">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3.因任何一方违约导致合同无法继续履行的，违约方需赔偿守约方合同金额20%的违约金，该违约金不足以弥补守约方实际损失的，违约方应赔偿守约方所有实际损失。</w:t>
      </w:r>
    </w:p>
    <w:p w14:paraId="52C9376C">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4.如碰到不可抗力因素造成无法按照原计划提供服务的，由甲乙双方协商解决。</w:t>
      </w:r>
    </w:p>
    <w:p w14:paraId="6E8780FA">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十二、</w:t>
      </w:r>
      <w:r>
        <w:rPr>
          <w:rFonts w:hint="eastAsia" w:ascii="宋体" w:hAnsi="宋体" w:eastAsia="宋体" w:cs="宋体"/>
          <w:b/>
          <w:bCs/>
          <w:color w:val="auto"/>
          <w:kern w:val="0"/>
          <w:sz w:val="24"/>
          <w:szCs w:val="24"/>
          <w:highlight w:val="none"/>
        </w:rPr>
        <w:t>验收依据：</w:t>
      </w:r>
    </w:p>
    <w:p w14:paraId="3A93C40C">
      <w:pPr>
        <w:pStyle w:val="3"/>
        <w:keepNext w:val="0"/>
        <w:keepLines w:val="0"/>
        <w:pageBreakBefore w:val="0"/>
        <w:widowControl w:val="0"/>
        <w:kinsoku/>
        <w:wordWrap/>
        <w:overflowPunct/>
        <w:topLinePunct w:val="0"/>
        <w:autoSpaceDE/>
        <w:autoSpaceDN/>
        <w:bidi w:val="0"/>
        <w:snapToGrid/>
        <w:spacing w:line="560" w:lineRule="exact"/>
        <w:ind w:firstLine="482"/>
        <w:textAlignment w:val="auto"/>
        <w:rPr>
          <w:rFonts w:hint="eastAsia" w:ascii="宋体" w:hAnsi="宋体" w:eastAsia="宋体" w:cs="宋体"/>
          <w:b w:val="0"/>
          <w:bCs w:val="0"/>
          <w:color w:val="auto"/>
          <w:kern w:val="0"/>
          <w:sz w:val="24"/>
          <w:szCs w:val="24"/>
          <w:highlight w:val="none"/>
          <w:lang w:val="en-US" w:eastAsia="zh-CN"/>
        </w:rPr>
      </w:pPr>
      <w:bookmarkStart w:id="12" w:name="_Toc11251"/>
      <w:bookmarkStart w:id="13" w:name="_Toc12051"/>
      <w:r>
        <w:rPr>
          <w:rFonts w:hint="eastAsia" w:ascii="宋体" w:hAnsi="宋体" w:eastAsia="宋体" w:cs="宋体"/>
          <w:b w:val="0"/>
          <w:bCs w:val="0"/>
          <w:color w:val="auto"/>
          <w:kern w:val="0"/>
          <w:sz w:val="24"/>
          <w:szCs w:val="24"/>
          <w:highlight w:val="none"/>
          <w:lang w:val="en-US" w:eastAsia="zh-CN"/>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14:paraId="22644118">
      <w:pPr>
        <w:pStyle w:val="3"/>
        <w:keepNext w:val="0"/>
        <w:keepLines w:val="0"/>
        <w:pageBreakBefore w:val="0"/>
        <w:widowControl w:val="0"/>
        <w:kinsoku/>
        <w:wordWrap/>
        <w:overflowPunct/>
        <w:topLinePunct w:val="0"/>
        <w:autoSpaceDE/>
        <w:autoSpaceDN/>
        <w:bidi w:val="0"/>
        <w:snapToGrid/>
        <w:spacing w:line="560" w:lineRule="exact"/>
        <w:ind w:firstLine="482"/>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十三</w:t>
      </w:r>
      <w:r>
        <w:rPr>
          <w:rFonts w:hint="eastAsia" w:ascii="宋体" w:hAnsi="宋体" w:eastAsia="宋体" w:cs="宋体"/>
          <w:b/>
          <w:bCs/>
          <w:color w:val="auto"/>
          <w:kern w:val="0"/>
          <w:sz w:val="24"/>
          <w:szCs w:val="24"/>
          <w:highlight w:val="none"/>
        </w:rPr>
        <w:t>、合同争议解决的方式</w:t>
      </w:r>
      <w:bookmarkEnd w:id="12"/>
      <w:bookmarkEnd w:id="13"/>
    </w:p>
    <w:p w14:paraId="33DD9228">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本合同在履行过程中发生的争议，由甲、乙双方当事人协商解决，协商不成的按下列第</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种方式解决：</w:t>
      </w:r>
    </w:p>
    <w:p w14:paraId="25437870">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（一）提交当地仲裁委员会仲裁；</w:t>
      </w:r>
    </w:p>
    <w:p w14:paraId="678059DE">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（二）依法向甲方所在地人民法院起诉。</w:t>
      </w:r>
    </w:p>
    <w:p w14:paraId="34E554CC">
      <w:pPr>
        <w:pStyle w:val="3"/>
        <w:keepNext w:val="0"/>
        <w:keepLines w:val="0"/>
        <w:pageBreakBefore w:val="0"/>
        <w:widowControl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bCs/>
          <w:color w:val="auto"/>
          <w:kern w:val="0"/>
          <w:sz w:val="24"/>
          <w:szCs w:val="24"/>
          <w:highlight w:val="none"/>
        </w:rPr>
      </w:pPr>
      <w:bookmarkStart w:id="14" w:name="_Toc31089"/>
      <w:bookmarkStart w:id="15" w:name="_Toc18561"/>
      <w:r>
        <w:rPr>
          <w:rFonts w:hint="eastAsia" w:ascii="宋体" w:hAnsi="宋体" w:eastAsia="宋体" w:cs="宋体"/>
          <w:b/>
          <w:bCs/>
          <w:color w:val="auto"/>
          <w:kern w:val="0"/>
          <w:sz w:val="24"/>
          <w:szCs w:val="24"/>
          <w:highlight w:val="none"/>
          <w:lang w:val="en-US" w:eastAsia="zh-CN"/>
        </w:rPr>
        <w:t>十四</w:t>
      </w:r>
      <w:r>
        <w:rPr>
          <w:rFonts w:hint="eastAsia" w:ascii="宋体" w:hAnsi="宋体" w:eastAsia="宋体" w:cs="宋体"/>
          <w:b/>
          <w:bCs/>
          <w:color w:val="auto"/>
          <w:kern w:val="0"/>
          <w:sz w:val="24"/>
          <w:szCs w:val="24"/>
          <w:highlight w:val="none"/>
        </w:rPr>
        <w:t>、合同生效</w:t>
      </w:r>
      <w:bookmarkEnd w:id="14"/>
      <w:bookmarkEnd w:id="15"/>
    </w:p>
    <w:p w14:paraId="769D49AD">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p>
    <w:p w14:paraId="2EA34DE0">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（二）合同生效后，甲、乙双方须严格执行本合同条款的规定，全面履行合同，违者按《</w:t>
      </w:r>
      <w:r>
        <w:rPr>
          <w:rFonts w:hint="eastAsia" w:ascii="宋体" w:hAnsi="宋体" w:eastAsia="宋体" w:cs="宋体"/>
          <w:bCs/>
          <w:color w:val="auto"/>
          <w:sz w:val="24"/>
          <w:szCs w:val="24"/>
          <w:highlight w:val="none"/>
          <w:lang w:val="zh-CN"/>
        </w:rPr>
        <w:t>中华人民共和国</w:t>
      </w:r>
      <w:r>
        <w:rPr>
          <w:rFonts w:hint="eastAsia" w:ascii="宋体" w:hAnsi="宋体" w:eastAsia="宋体" w:cs="宋体"/>
          <w:bCs/>
          <w:color w:val="auto"/>
          <w:sz w:val="24"/>
          <w:szCs w:val="24"/>
          <w:highlight w:val="none"/>
        </w:rPr>
        <w:t>民法典》的有关规定承担相应责任。</w:t>
      </w:r>
    </w:p>
    <w:p w14:paraId="55CC0EA1">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份，甲方执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份，乙方执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61E5EED1">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Cs/>
          <w:color w:val="auto"/>
          <w:sz w:val="24"/>
          <w:szCs w:val="24"/>
          <w:highlight w:val="none"/>
        </w:rPr>
        <w:t>（四）本合同如有未尽事宜，</w:t>
      </w:r>
      <w:r>
        <w:rPr>
          <w:rFonts w:hint="eastAsia" w:ascii="宋体" w:hAnsi="宋体" w:eastAsia="宋体" w:cs="宋体"/>
          <w:bCs/>
          <w:color w:val="auto"/>
          <w:sz w:val="24"/>
          <w:szCs w:val="24"/>
          <w:highlight w:val="none"/>
          <w:lang w:val="en-US" w:eastAsia="zh-CN"/>
        </w:rPr>
        <w:t>经</w:t>
      </w:r>
      <w:r>
        <w:rPr>
          <w:rFonts w:hint="eastAsia" w:ascii="宋体" w:hAnsi="宋体" w:eastAsia="宋体" w:cs="宋体"/>
          <w:bCs/>
          <w:color w:val="auto"/>
          <w:sz w:val="24"/>
          <w:szCs w:val="24"/>
          <w:highlight w:val="none"/>
        </w:rPr>
        <w:t>甲、乙双方协商</w:t>
      </w:r>
      <w:r>
        <w:rPr>
          <w:rFonts w:hint="eastAsia" w:ascii="宋体" w:hAnsi="宋体" w:eastAsia="宋体" w:cs="宋体"/>
          <w:bCs/>
          <w:color w:val="auto"/>
          <w:sz w:val="24"/>
          <w:szCs w:val="24"/>
          <w:highlight w:val="none"/>
          <w:lang w:val="en-US" w:eastAsia="zh-CN"/>
        </w:rPr>
        <w:t>一致达成补充协议，作为本合同的补充，与本合同具有同等法律效力</w:t>
      </w:r>
      <w:r>
        <w:rPr>
          <w:rFonts w:hint="eastAsia" w:ascii="宋体" w:hAnsi="宋体" w:eastAsia="宋体" w:cs="宋体"/>
          <w:bCs/>
          <w:color w:val="auto"/>
          <w:sz w:val="24"/>
          <w:szCs w:val="24"/>
          <w:highlight w:val="none"/>
        </w:rPr>
        <w:t>。</w:t>
      </w:r>
    </w:p>
    <w:p w14:paraId="0B12DA86">
      <w:pPr>
        <w:keepNext w:val="0"/>
        <w:keepLines w:val="0"/>
        <w:pageBreakBefore w:val="0"/>
        <w:widowControl w:val="0"/>
        <w:tabs>
          <w:tab w:val="left" w:pos="480"/>
        </w:tabs>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color w:val="auto"/>
          <w:sz w:val="24"/>
          <w:szCs w:val="24"/>
          <w:highlight w:val="none"/>
          <w:lang w:val="en-US" w:eastAsia="zh-CN"/>
        </w:rPr>
        <w:t>（以下无正文）</w:t>
      </w:r>
    </w:p>
    <w:p w14:paraId="7BC9C36B">
      <w:pPr>
        <w:keepNext w:val="0"/>
        <w:keepLines w:val="0"/>
        <w:pageBreakBefore w:val="0"/>
        <w:widowControl w:val="0"/>
        <w:kinsoku/>
        <w:wordWrap/>
        <w:overflowPunct/>
        <w:topLinePunct w:val="0"/>
        <w:autoSpaceDE/>
        <w:autoSpaceDN/>
        <w:bidi w:val="0"/>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1AD38793">
      <w:pPr>
        <w:pStyle w:val="11"/>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签署页</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24"/>
        <w:gridCol w:w="4298"/>
      </w:tblGrid>
      <w:tr w14:paraId="783F4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B4C9FC1">
            <w:pPr>
              <w:pStyle w:val="11"/>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甲  方（公章）</w:t>
            </w:r>
          </w:p>
        </w:tc>
        <w:tc>
          <w:tcPr>
            <w:tcW w:w="4981" w:type="dxa"/>
          </w:tcPr>
          <w:p w14:paraId="3E4B0205">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b/>
                <w:color w:val="auto"/>
                <w:sz w:val="24"/>
                <w:szCs w:val="24"/>
                <w:highlight w:val="none"/>
              </w:rPr>
              <w:t>乙  方（公章）</w:t>
            </w:r>
          </w:p>
        </w:tc>
      </w:tr>
      <w:tr w14:paraId="3F28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07C353E8">
            <w:pPr>
              <w:pStyle w:val="11"/>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lang w:val="en-US" w:eastAsia="zh-CN"/>
              </w:rPr>
              <w:t xml:space="preserve"> </w:t>
            </w:r>
          </w:p>
        </w:tc>
        <w:tc>
          <w:tcPr>
            <w:tcW w:w="4981" w:type="dxa"/>
          </w:tcPr>
          <w:p w14:paraId="6226FF1B">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sz w:val="24"/>
                <w:szCs w:val="24"/>
                <w:vertAlign w:val="baseline"/>
                <w:lang w:eastAsia="zh-CN"/>
              </w:rPr>
            </w:pPr>
            <w:r>
              <w:rPr>
                <w:rFonts w:hint="eastAsia" w:ascii="宋体" w:hAnsi="宋体" w:eastAsia="宋体" w:cs="宋体"/>
                <w:b/>
                <w:bCs/>
                <w:color w:val="auto"/>
                <w:sz w:val="24"/>
                <w:szCs w:val="24"/>
                <w:highlight w:val="none"/>
              </w:rPr>
              <w:t>单位名称：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ECD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1D1A9D03">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c>
          <w:tcPr>
            <w:tcW w:w="4981" w:type="dxa"/>
          </w:tcPr>
          <w:p w14:paraId="20500461">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地    址：</w:t>
            </w:r>
            <w:r>
              <w:rPr>
                <w:rFonts w:hint="eastAsia" w:ascii="宋体" w:hAnsi="宋体" w:eastAsia="宋体" w:cs="宋体"/>
                <w:color w:val="auto"/>
                <w:sz w:val="24"/>
                <w:szCs w:val="24"/>
                <w:highlight w:val="none"/>
                <w:lang w:val="en-US" w:eastAsia="zh-CN"/>
              </w:rPr>
              <w:t xml:space="preserve"> </w:t>
            </w:r>
          </w:p>
        </w:tc>
      </w:tr>
      <w:tr w14:paraId="4CF1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4D2E7ECB">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代 理 人：</w:t>
            </w:r>
          </w:p>
        </w:tc>
        <w:tc>
          <w:tcPr>
            <w:tcW w:w="4981" w:type="dxa"/>
          </w:tcPr>
          <w:p w14:paraId="4170880D">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 理 人：</w:t>
            </w:r>
          </w:p>
          <w:p w14:paraId="1E3E77EE">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rPr>
            </w:pPr>
          </w:p>
        </w:tc>
      </w:tr>
      <w:tr w14:paraId="2582B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03E512F">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联系电话：</w:t>
            </w:r>
          </w:p>
        </w:tc>
        <w:tc>
          <w:tcPr>
            <w:tcW w:w="4981" w:type="dxa"/>
          </w:tcPr>
          <w:p w14:paraId="08E94303">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联系电话：</w:t>
            </w:r>
            <w:r>
              <w:rPr>
                <w:rFonts w:hint="eastAsia" w:ascii="宋体" w:hAnsi="宋体" w:eastAsia="宋体" w:cs="宋体"/>
                <w:color w:val="auto"/>
                <w:sz w:val="24"/>
                <w:szCs w:val="24"/>
                <w:highlight w:val="none"/>
                <w:lang w:val="en-US" w:eastAsia="zh-CN"/>
              </w:rPr>
              <w:t xml:space="preserve"> </w:t>
            </w:r>
          </w:p>
        </w:tc>
      </w:tr>
      <w:tr w14:paraId="7BB0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38245AE7">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1A5E301A">
            <w:pPr>
              <w:pStyle w:val="11"/>
              <w:keepNext w:val="0"/>
              <w:keepLines w:val="0"/>
              <w:pageBreakBefore w:val="0"/>
              <w:widowControl/>
              <w:kinsoku/>
              <w:wordWrap/>
              <w:overflowPunct/>
              <w:topLinePunct w:val="0"/>
              <w:autoSpaceDE/>
              <w:autoSpaceDN/>
              <w:bidi w:val="0"/>
              <w:adjustRightInd/>
              <w:snapToGrid/>
              <w:spacing w:line="600" w:lineRule="exact"/>
              <w:ind w:left="420" w:leftChars="200" w:firstLine="0" w:firstLine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帐    号：</w:t>
            </w:r>
            <w:r>
              <w:rPr>
                <w:rFonts w:hint="eastAsia" w:ascii="宋体" w:hAnsi="宋体" w:eastAsia="宋体" w:cs="宋体"/>
                <w:color w:val="auto"/>
                <w:sz w:val="24"/>
                <w:szCs w:val="24"/>
                <w:highlight w:val="none"/>
                <w:lang w:val="en-US" w:eastAsia="zh-CN"/>
              </w:rPr>
              <w:t xml:space="preserve"> </w:t>
            </w:r>
          </w:p>
        </w:tc>
      </w:tr>
      <w:tr w14:paraId="18E58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29791F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auto"/>
                <w:sz w:val="24"/>
                <w:szCs w:val="24"/>
                <w:highlight w:val="none"/>
              </w:rPr>
            </w:pPr>
          </w:p>
        </w:tc>
        <w:tc>
          <w:tcPr>
            <w:tcW w:w="4981" w:type="dxa"/>
          </w:tcPr>
          <w:p w14:paraId="5554AA13">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开户银行：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tc>
      </w:tr>
      <w:tr w14:paraId="0F1DB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74A3AB46">
            <w:pPr>
              <w:keepNext w:val="0"/>
              <w:keepLines w:val="0"/>
              <w:pageBreakBefore w:val="0"/>
              <w:widowControl w:val="0"/>
              <w:tabs>
                <w:tab w:val="left" w:pos="480"/>
              </w:tabs>
              <w:kinsoku/>
              <w:wordWrap/>
              <w:overflowPunct/>
              <w:topLinePunct w:val="0"/>
              <w:autoSpaceDE/>
              <w:autoSpaceDN/>
              <w:bidi w:val="0"/>
              <w:adjustRightInd/>
              <w:snapToGrid/>
              <w:spacing w:line="6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签订日期：</w:t>
            </w:r>
          </w:p>
        </w:tc>
        <w:tc>
          <w:tcPr>
            <w:tcW w:w="4981" w:type="dxa"/>
          </w:tcPr>
          <w:p w14:paraId="2691E6AC">
            <w:pPr>
              <w:keepNext w:val="0"/>
              <w:keepLines w:val="0"/>
              <w:pageBreakBefore w:val="0"/>
              <w:widowControl w:val="0"/>
              <w:tabs>
                <w:tab w:val="left" w:pos="480"/>
              </w:tabs>
              <w:kinsoku/>
              <w:wordWrap/>
              <w:overflowPunct/>
              <w:topLinePunct w:val="0"/>
              <w:autoSpaceDE/>
              <w:autoSpaceDN/>
              <w:bidi w:val="0"/>
              <w:adjustRightInd/>
              <w:snapToGrid/>
              <w:spacing w:line="600" w:lineRule="exact"/>
              <w:ind w:left="420" w:left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签订日期：</w:t>
            </w:r>
          </w:p>
        </w:tc>
      </w:tr>
    </w:tbl>
    <w:p w14:paraId="34D39845">
      <w:pPr>
        <w:keepNext w:val="0"/>
        <w:keepLines w:val="0"/>
        <w:pageBreakBefore w:val="0"/>
        <w:widowControl w:val="0"/>
        <w:tabs>
          <w:tab w:val="left" w:pos="480"/>
        </w:tabs>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sz w:val="24"/>
          <w:szCs w:val="24"/>
        </w:rPr>
      </w:pPr>
    </w:p>
    <w:p w14:paraId="5351884B">
      <w:pPr>
        <w:spacing w:line="560" w:lineRule="exact"/>
        <w:rPr>
          <w:rFonts w:hint="eastAsia" w:ascii="宋体" w:hAnsi="宋体" w:eastAsia="宋体" w:cs="宋体"/>
          <w:sz w:val="28"/>
          <w:szCs w:val="28"/>
        </w:rPr>
      </w:pPr>
    </w:p>
    <w:p w14:paraId="6B5341E5"/>
    <w:sectPr>
      <w:headerReference r:id="rId11" w:type="default"/>
      <w:footerReference r:id="rId12"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91070">
    <w:pPr>
      <w:pStyle w:val="4"/>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A2E3">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476DB">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B6C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B8112">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DB811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BCC55">
    <w:pPr>
      <w:pStyle w:val="5"/>
      <w:pBdr>
        <w:bottom w:val="none" w:color="auto" w:sz="0" w:space="0"/>
      </w:pBdr>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4737A">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DFF2">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FC2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71EA8"/>
    <w:rsid w:val="0A7F4CAA"/>
    <w:rsid w:val="24751C37"/>
    <w:rsid w:val="282B0DB7"/>
    <w:rsid w:val="2EF50470"/>
    <w:rsid w:val="39571EA8"/>
    <w:rsid w:val="4D5064E9"/>
    <w:rsid w:val="503D78E7"/>
    <w:rsid w:val="5C1F54B9"/>
    <w:rsid w:val="5E5D2907"/>
    <w:rsid w:val="72721ECF"/>
    <w:rsid w:val="74F11E17"/>
    <w:rsid w:val="7EDB1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2026-05-14T01:01:00Z</dcterms:created>
  <dc:creator>Y</dc:creator>
  <cp:lastModifiedBy>Y</cp:lastModifiedBy>
  <dcterms:modified xsi:type="dcterms:W3CDTF">2026-05-14T01:20:40Z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CA17CF5F0D5346E992E00DE054675C37_11</vt:lpwstr>
  </property>
  <property fmtid="{D5CDD505-2E9C-101B-9397-08002B2CF9AE}" pid="4" name="KSOTemplateDocerSaveRecord">
    <vt:lpwstr>eyJoZGlkIjoiOGZhMGY4NGI5YmU5OGE3YjRiMDgyODliZGQxOWY2MGYiLCJ1c2VySWQiOiIxMDMyOTA1OTI4In0=</vt:lpwstr>
  </property>
</Properties>
</file>