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17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11"/>
          <w:sz w:val="32"/>
          <w:szCs w:val="32"/>
          <w:lang w:val="en-US" w:eastAsia="zh-CN"/>
        </w:rPr>
        <w:t>商洛市中心医院VTE管理系统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项目采购合同</w:t>
      </w:r>
    </w:p>
    <w:p w14:paraId="6711A8A7">
      <w:pPr>
        <w:rPr>
          <w:rFonts w:hint="eastAsia" w:ascii="仿宋" w:hAnsi="仿宋" w:eastAsia="仿宋" w:cs="仿宋"/>
          <w:sz w:val="22"/>
          <w:szCs w:val="22"/>
        </w:rPr>
      </w:pPr>
    </w:p>
    <w:p w14:paraId="52F995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甲方：商洛市中心医院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法定代表人：唐红涛</w:t>
      </w:r>
    </w:p>
    <w:p w14:paraId="346EF6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地址：陕西省商洛市商州区商鞅大道中段37号</w:t>
      </w:r>
    </w:p>
    <w:p w14:paraId="5891F1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乙方：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24"/>
          <w:szCs w:val="24"/>
        </w:rPr>
        <w:t>法定代表人：</w:t>
      </w:r>
    </w:p>
    <w:p w14:paraId="6A46BB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z w:val="24"/>
          <w:szCs w:val="24"/>
        </w:rPr>
        <w:t>地址：</w:t>
      </w:r>
    </w:p>
    <w:p w14:paraId="7DAF3F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40CEC8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依据《中华人民共和国民法典》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《中华人民共和国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政府采购法</w:t>
      </w:r>
      <w:r>
        <w:rPr>
          <w:rFonts w:hint="eastAsia" w:ascii="仿宋" w:hAnsi="仿宋" w:eastAsia="仿宋" w:cs="仿宋"/>
          <w:sz w:val="24"/>
          <w:szCs w:val="24"/>
        </w:rPr>
        <w:t>》及其他有关法律法规，遵循平等、自愿、公平和诚实信用的原则，就乙方向甲方提供</w:t>
      </w:r>
      <w:r>
        <w:rPr>
          <w:rFonts w:hint="eastAsia" w:ascii="仿宋" w:hAnsi="仿宋" w:eastAsia="仿宋" w:cs="仿宋"/>
          <w:sz w:val="24"/>
          <w:szCs w:val="24"/>
          <w:u w:val="single"/>
        </w:rPr>
        <w:t>商洛市中心医院VTE防治管理系统采购项目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>合同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事</w:t>
      </w:r>
      <w:r>
        <w:rPr>
          <w:rFonts w:hint="eastAsia" w:ascii="仿宋" w:hAnsi="仿宋" w:eastAsia="仿宋" w:cs="仿宋"/>
          <w:sz w:val="24"/>
          <w:szCs w:val="24"/>
        </w:rPr>
        <w:t>宜，经甲乙双方友好协商，特订立本合同以兹共同遵守。</w:t>
      </w:r>
    </w:p>
    <w:p w14:paraId="384694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一、服务内容</w:t>
      </w:r>
    </w:p>
    <w:p w14:paraId="6A96AE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1.乙方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负责建设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服务商洛市中心医院VTE管理系统服务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,</w:t>
      </w:r>
      <w:r>
        <w:rPr>
          <w:rFonts w:hint="eastAsia" w:ascii="仿宋" w:hAnsi="仿宋" w:eastAsia="仿宋" w:cs="仿宋"/>
          <w:sz w:val="24"/>
          <w:szCs w:val="24"/>
        </w:rPr>
        <w:t>向甲方提供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包含但不限于：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u w:val="none"/>
          <w:lang w:eastAsia="zh-CN"/>
        </w:rPr>
        <w:t>等</w:t>
      </w:r>
      <w:r>
        <w:rPr>
          <w:rFonts w:hint="eastAsia" w:ascii="仿宋" w:hAnsi="仿宋" w:eastAsia="仿宋" w:cs="仿宋"/>
          <w:sz w:val="24"/>
          <w:szCs w:val="24"/>
          <w:u w:val="none"/>
        </w:rPr>
        <w:t>。</w:t>
      </w:r>
      <w:r>
        <w:rPr>
          <w:rFonts w:hint="eastAsia" w:ascii="仿宋" w:hAnsi="仿宋" w:eastAsia="仿宋" w:cs="仿宋"/>
          <w:sz w:val="24"/>
          <w:szCs w:val="24"/>
          <w:u w:val="none"/>
          <w:lang w:eastAsia="zh-CN"/>
        </w:rPr>
        <w:t>项目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合同金额人民币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，具体清单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（略）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5A81C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2.合同价格包括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合同服务内容要求的全部内容和硬件集成调试、</w:t>
      </w:r>
      <w:r>
        <w:rPr>
          <w:rFonts w:hint="eastAsia" w:ascii="仿宋" w:hAnsi="仿宋" w:eastAsia="仿宋" w:cs="仿宋"/>
          <w:sz w:val="24"/>
          <w:szCs w:val="24"/>
        </w:rPr>
        <w:t xml:space="preserve">技术服务费、人工费、交通费、售后服务、税金等相关费用。 </w:t>
      </w:r>
    </w:p>
    <w:p w14:paraId="157B6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3.项目建设具体目标：</w:t>
      </w:r>
    </w:p>
    <w:p w14:paraId="24E67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①.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通过部署一体化VTE智能防治管理系统，全面支持数据采集与处理、智能评估管理、在线预警提醒、VTE专题报告生成等功能，实现患者VTE风险自动评估、高危人群智能预警、预防措施精准推荐及诊疗过程全程追溯，显著提升VTE防治效率与响应速度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79BF5679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②.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建立患者VTE风险智能识别体系，实现对入院、转科、术前、术后、病情变化、出院等关键时点的全周期风险评估，形成评估、预警、疑诊、确诊多维度闭环管理模式。支持在医生站、护士站等多终端展示差异化的预警信息，按照临床规则生成中高危患者专属队列，确保防治干预及时、诊疗流线分明。同时，通过VTE随访模块为出院患者提供周期性随访管理，实时跟踪康复情况，构建从院内到院外、线上线下融合的全方位防治服务网络，有效降低VTE发生风险。</w:t>
      </w:r>
    </w:p>
    <w:p w14:paraId="60354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③.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完成与HIS系统、LIS系统、PACS系统、手麻系统、电子病历系统、护理病历系统等临床业务系统的全面对接，以患者诊疗数据为纽带，实现患者信息无缝流转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7EACF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二、服务时间和地点</w:t>
      </w:r>
    </w:p>
    <w:p w14:paraId="260AA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1.建设期：合同签订之日起60天内完成全部内容。</w:t>
      </w:r>
    </w:p>
    <w:p w14:paraId="5986F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2.服务地点：商洛市中心医院。</w:t>
      </w:r>
    </w:p>
    <w:p w14:paraId="40B1B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3.建设服务内容：详见附件《商洛市中心医院VTE管理系统</w:t>
      </w:r>
      <w:r>
        <w:rPr>
          <w:rFonts w:hint="eastAsia" w:ascii="仿宋" w:hAnsi="仿宋" w:eastAsia="仿宋" w:cs="仿宋"/>
          <w:sz w:val="24"/>
          <w:szCs w:val="24"/>
        </w:rPr>
        <w:t>项目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功能技术要求及价款明细</w:t>
      </w:r>
      <w:r>
        <w:rPr>
          <w:rFonts w:hint="eastAsia" w:ascii="仿宋" w:hAnsi="仿宋" w:eastAsia="仿宋" w:cs="仿宋"/>
          <w:sz w:val="24"/>
          <w:szCs w:val="24"/>
        </w:rPr>
        <w:t>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》。</w:t>
      </w:r>
    </w:p>
    <w:p w14:paraId="7F488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三、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项目验收</w:t>
      </w:r>
    </w:p>
    <w:p w14:paraId="46BA04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1.初步验收：</w:t>
      </w:r>
    </w:p>
    <w:p w14:paraId="4DA9C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2.最终验收：</w:t>
      </w:r>
    </w:p>
    <w:p w14:paraId="1AAB0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四、服务质量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要求</w:t>
      </w:r>
    </w:p>
    <w:p w14:paraId="67C92AB3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1.通过接口加密传输，实现多系统数据互通与业务协同；</w:t>
      </w:r>
    </w:p>
    <w:p w14:paraId="1D008F2D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2.建立VTE随访和质量控制核心指标管理体系；</w:t>
      </w:r>
    </w:p>
    <w:p w14:paraId="2AA80D68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3.为患者提供多样化、便捷的防治服务入口；</w:t>
      </w:r>
    </w:p>
    <w:p w14:paraId="6E5ABCDD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构建全院统一预警监控引擎，实时监测各科室、病区VTE高危患者状态，动态调整预警级别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eastAsia="zh-CN"/>
        </w:rPr>
        <w:t>；</w:t>
      </w:r>
    </w:p>
    <w:p w14:paraId="6354E4E5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5.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优化医护人员工作流程，提升VTE防治效率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eastAsia="zh-CN"/>
        </w:rPr>
        <w:t>；</w:t>
      </w:r>
    </w:p>
    <w:p w14:paraId="2DB5D266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6.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赋能医院管理人员进行精细化VTE防治管理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eastAsia="zh-CN"/>
        </w:rPr>
        <w:t>。</w:t>
      </w:r>
    </w:p>
    <w:p w14:paraId="4CCAF7FE">
      <w:pPr>
        <w:pStyle w:val="8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460" w:lineRule="exact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、款项结算</w:t>
      </w:r>
    </w:p>
    <w:p w14:paraId="1C039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（1）付款方式</w:t>
      </w:r>
    </w:p>
    <w:p w14:paraId="638EC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1、合同生效，正式进场实施，达到付款条件起30个工作日内，支付合同总金额的30.0%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533FBE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2、验收付款：达到项目验收标准中的验收要求并验收，达到付款条件起30个工作日内，支付合同总金额的65.0%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187CB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3、项目整体验收、质保结束，达到付款条件起30个工作日内，支付合同总金额的5.0%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5409D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（2）乙方账户信息</w:t>
      </w:r>
    </w:p>
    <w:p w14:paraId="130C8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公司名称：</w:t>
      </w:r>
    </w:p>
    <w:p w14:paraId="110479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纳税人识别号：</w:t>
      </w:r>
      <w:bookmarkStart w:id="0" w:name="_GoBack"/>
      <w:bookmarkEnd w:id="0"/>
    </w:p>
    <w:p w14:paraId="718DCE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地址：</w:t>
      </w:r>
    </w:p>
    <w:p w14:paraId="35C70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电话：</w:t>
      </w:r>
    </w:p>
    <w:p w14:paraId="6B4B5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账号：</w:t>
      </w:r>
    </w:p>
    <w:p w14:paraId="72CA0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开户银行：</w:t>
      </w:r>
    </w:p>
    <w:p w14:paraId="00D50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行号：</w:t>
      </w:r>
    </w:p>
    <w:p w14:paraId="58589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（3）乙方凭以下资料办理结算（银行转账）手续</w:t>
      </w:r>
    </w:p>
    <w:p w14:paraId="216F80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①合同；</w:t>
      </w:r>
    </w:p>
    <w:p w14:paraId="6AB36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②乙方开具的正式发票；</w:t>
      </w:r>
    </w:p>
    <w:p w14:paraId="75ED3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③《项目上线确认单》或《项目验收报告》；</w:t>
      </w:r>
    </w:p>
    <w:p w14:paraId="587F2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④医院要求的其他相关资料。</w:t>
      </w:r>
    </w:p>
    <w:p w14:paraId="644E68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六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、双方责任及义务</w:t>
      </w:r>
    </w:p>
    <w:p w14:paraId="27240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（一）甲方的权利和义务</w:t>
      </w:r>
    </w:p>
    <w:p w14:paraId="420B9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1.该项目指派专人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负责，便于双方沟通协调。</w:t>
      </w:r>
    </w:p>
    <w:p w14:paraId="4FCB9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2.为乙方提供必要的场地、设备设施、配合工作人员。</w:t>
      </w:r>
    </w:p>
    <w:p w14:paraId="63B9A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3.按照合同约定的付款方式及时付款。</w:t>
      </w:r>
    </w:p>
    <w:p w14:paraId="732E1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4.维护乙方知识产权的合法权益，协助乙方做好知识产权保护工作。</w:t>
      </w:r>
    </w:p>
    <w:p w14:paraId="51A66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（二）乙方的权利和义务</w:t>
      </w:r>
    </w:p>
    <w:p w14:paraId="27BEB9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1.该项目指派专人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（联系方式：         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负责，便于双方沟通协调。</w:t>
      </w:r>
    </w:p>
    <w:p w14:paraId="1E61E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2.乙方应遵守医院各项规章制度及考核要求，按照本合同约定完成该项目服务。</w:t>
      </w:r>
    </w:p>
    <w:p w14:paraId="28CAD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3.按照招投标文件、本合同约定按照甲方规定的时间、地点、内容、质量等进行服务。</w:t>
      </w:r>
    </w:p>
    <w:p w14:paraId="42AC8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4.未经甲方同意，不得将甲方系统相关的数据、信息、功能等提供给第三方，对甲方造成声誉或经济损失的，乙方须承担相应的法律责任和经济赔偿。</w:t>
      </w:r>
    </w:p>
    <w:p w14:paraId="3D4B58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七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、违约责任</w:t>
      </w:r>
    </w:p>
    <w:p w14:paraId="48A55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若甲乙双方任何一方在履行合同过程中违约，则守约方有权提起诉讼，并要求违约方承担违约责任。违约方应当承担除设备款本金与利息、违约责任之外，还应承担诉讼费、律师费、保全费、差旅费等守约方为追索该债权而支付的其他合理费用。</w:t>
      </w:r>
    </w:p>
    <w:p w14:paraId="236CE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2.如因甲方原因工期顺延，乙方不承担违约责任；其他不可抗力造成的本项目延误、取消,双方协商解决。</w:t>
      </w:r>
    </w:p>
    <w:p w14:paraId="7362F4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八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、争议的解决</w:t>
      </w:r>
    </w:p>
    <w:p w14:paraId="3C9B14D8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因本合同产生的一切争议，双方协商解决，如不能协商解决的，双方可向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甲方</w:t>
      </w:r>
      <w:r>
        <w:rPr>
          <w:rFonts w:hint="eastAsia" w:ascii="仿宋" w:hAnsi="仿宋" w:eastAsia="仿宋" w:cs="仿宋"/>
          <w:sz w:val="24"/>
          <w:szCs w:val="24"/>
        </w:rPr>
        <w:t>所在地人民法院提起诉讼。</w:t>
      </w:r>
    </w:p>
    <w:p w14:paraId="383A9F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九、其他</w:t>
      </w:r>
    </w:p>
    <w:p w14:paraId="3DBD04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1.合同组成：主合同、合同附件、招投标文件、会议记录及澄清等均为本合同不可分割的部分，具有同等的法律效力；</w:t>
      </w:r>
    </w:p>
    <w:p w14:paraId="1748DE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2.合同执行期内，甲乙双方均不得随意变更或解除合同，如有未尽事宜，须经双方共同协商，做出补充协议，补充协议与本合同具有同等法律效力；</w:t>
      </w:r>
    </w:p>
    <w:p w14:paraId="144471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3.本合同自双方签订之日起生效，原件一式陆份，甲方叁份、乙方叁份。</w:t>
      </w:r>
    </w:p>
    <w:p w14:paraId="0E1A2A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附件：商洛市中心医院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VTE管理系统功能技术要求及价款明细</w:t>
      </w:r>
      <w:r>
        <w:rPr>
          <w:rFonts w:hint="eastAsia" w:ascii="仿宋" w:hAnsi="仿宋" w:eastAsia="仿宋" w:cs="仿宋"/>
          <w:sz w:val="24"/>
          <w:szCs w:val="24"/>
        </w:rPr>
        <w:t>表</w:t>
      </w:r>
    </w:p>
    <w:p w14:paraId="271CDB28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br w:type="page"/>
      </w:r>
    </w:p>
    <w:p w14:paraId="1F4DE3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8"/>
        <w:gridCol w:w="4314"/>
      </w:tblGrid>
      <w:tr w14:paraId="689C9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82" w:type="dxa"/>
            <w:noWrap w:val="0"/>
            <w:vAlign w:val="top"/>
          </w:tcPr>
          <w:p w14:paraId="69AE74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pacing w:val="-28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8"/>
                <w:sz w:val="24"/>
                <w:szCs w:val="24"/>
              </w:rPr>
              <w:t>甲方（盖章）：商洛市中心医院</w:t>
            </w:r>
          </w:p>
          <w:p w14:paraId="721D29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pacing w:val="-28"/>
                <w:sz w:val="24"/>
                <w:szCs w:val="24"/>
              </w:rPr>
            </w:pPr>
          </w:p>
          <w:p w14:paraId="520BFA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pacing w:val="-28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8"/>
                <w:sz w:val="24"/>
                <w:szCs w:val="24"/>
              </w:rPr>
              <w:t>授权代表（签字）：</w:t>
            </w:r>
          </w:p>
        </w:tc>
        <w:tc>
          <w:tcPr>
            <w:tcW w:w="4482" w:type="dxa"/>
            <w:noWrap w:val="0"/>
            <w:vAlign w:val="top"/>
          </w:tcPr>
          <w:p w14:paraId="3022AC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ind w:left="1848" w:hanging="1288" w:hangingChars="7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8"/>
                <w:sz w:val="24"/>
                <w:szCs w:val="24"/>
              </w:rPr>
              <w:t>乙方（盖章）：</w:t>
            </w:r>
          </w:p>
          <w:p w14:paraId="1ACE41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pacing w:val="-28"/>
                <w:sz w:val="24"/>
                <w:szCs w:val="24"/>
              </w:rPr>
            </w:pPr>
          </w:p>
          <w:p w14:paraId="17221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spacing w:val="-28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8"/>
                <w:sz w:val="24"/>
                <w:szCs w:val="24"/>
              </w:rPr>
              <w:t>授权代表(签字)：</w:t>
            </w:r>
          </w:p>
        </w:tc>
      </w:tr>
    </w:tbl>
    <w:p w14:paraId="2CB5BC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网络中心：</w:t>
      </w:r>
    </w:p>
    <w:p w14:paraId="23DDAA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采购办：</w:t>
      </w:r>
    </w:p>
    <w:p w14:paraId="05B3DC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监督部门：</w:t>
      </w:r>
    </w:p>
    <w:p w14:paraId="37D965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</w:rPr>
        <w:t>时间：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2026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日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 xml:space="preserve"> 时间：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2026</w:t>
      </w:r>
      <w:r>
        <w:rPr>
          <w:rFonts w:hint="eastAsia" w:ascii="仿宋" w:hAnsi="仿宋" w:eastAsia="仿宋" w:cs="仿宋"/>
          <w:sz w:val="24"/>
          <w:szCs w:val="24"/>
        </w:rPr>
        <w:t>年月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日 </w:t>
      </w:r>
    </w:p>
    <w:p w14:paraId="237A20A6">
      <w:pPr>
        <w:rPr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2953A">
    <w:pPr>
      <w:pStyle w:val="2"/>
      <w:tabs>
        <w:tab w:val="center" w:pos="4374"/>
        <w:tab w:val="clear" w:pos="4153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0EC1D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- 6 -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0EC1D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- 6 -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8B1ACE"/>
    <w:rsid w:val="37FF1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39"/>
    <w:rPr>
      <w:rFonts w:ascii="等线" w:hAnsi="等线" w:eastAsia="等线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customStyle="1" w:styleId="8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1918</Words>
  <Characters>1999</Characters>
  <Lines>0</Lines>
  <Paragraphs>0</Paragraphs>
  <TotalTime>1</TotalTime>
  <ScaleCrop>false</ScaleCrop>
  <LinksUpToDate>false</LinksUpToDate>
  <CharactersWithSpaces>2082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2026-04-10T07:19:00Z</dcterms:created>
  <dc:creator>Administrator</dc:creator>
  <cp:lastModifiedBy>海盗阿西</cp:lastModifiedBy>
  <dcterms:modified xsi:type="dcterms:W3CDTF">2026-05-31T14:21:03Z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eyJoZGlkIjoiODQ3Y2U4MWZmOTYwZDM3OWVjYTgzODlhNzRhNTdjN2IiLCJ1c2VySWQiOiI2MTI0MTMyMTkifQ==</vt:lpwstr>
  </property>
  <property fmtid="{D5CDD505-2E9C-101B-9397-08002B2CF9AE}" pid="4" name="ICV">
    <vt:lpwstr>5FD8B74D4833491E9A40A2EFA2D645B9_12</vt:lpwstr>
  </property>
</Properties>
</file>