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版本号：SCZH2026-ZB-0624-00120260424001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2026年西安市城市更新项目谋划申报建设技术服务项目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SCZH2026-ZB-0624-001</w:t>
      </w:r>
      <w:r>
        <w:br/>
      </w:r>
      <w:r>
        <w:br/>
      </w:r>
      <w:r>
        <w:br/>
      </w:r>
    </w:p>
    <w:p>
      <w:pPr>
        <w:pStyle w:val="null3"/>
        <w:jc w:val="center"/>
        <w:outlineLvl w:val="2"/>
      </w:pPr>
      <w:r>
        <w:rPr>
          <w:rFonts w:ascii="仿宋_GB2312" w:hAnsi="仿宋_GB2312" w:cs="仿宋_GB2312" w:eastAsia="仿宋_GB2312"/>
          <w:sz w:val="28"/>
          <w:b/>
        </w:rPr>
        <w:t>西安市住房和城乡建设局（本级）</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西安市住房和城乡建设局（本级）</w:t>
      </w:r>
      <w:r>
        <w:rPr>
          <w:rFonts w:ascii="仿宋_GB2312" w:hAnsi="仿宋_GB2312" w:cs="仿宋_GB2312" w:eastAsia="仿宋_GB2312"/>
        </w:rPr>
        <w:t>委托，拟对</w:t>
      </w:r>
      <w:r>
        <w:rPr>
          <w:rFonts w:ascii="仿宋_GB2312" w:hAnsi="仿宋_GB2312" w:cs="仿宋_GB2312" w:eastAsia="仿宋_GB2312"/>
        </w:rPr>
        <w:t>2026年西安市城市更新项目谋划申报建设技术服务项目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SCZH2026-ZB-0624-001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2026年西安市城市更新项目谋划申报建设技术服务项目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城市更新项目谋划申报建设专项总体方案编制技术咨询服务、城市更新片区建设实施方案编制技术咨询服务。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1、投标人资质：投标人须具备城乡规划编制甲级资质</w:t>
      </w:r>
    </w:p>
    <w:p>
      <w:pPr>
        <w:pStyle w:val="null3"/>
      </w:pPr>
      <w:r>
        <w:rPr>
          <w:rFonts w:ascii="仿宋_GB2312" w:hAnsi="仿宋_GB2312" w:cs="仿宋_GB2312" w:eastAsia="仿宋_GB2312"/>
        </w:rPr>
        <w:t>2、项目负责人：拟派项目负责人须具备注册城乡规划师执业资格</w:t>
      </w:r>
    </w:p>
    <w:p>
      <w:pPr>
        <w:pStyle w:val="null3"/>
      </w:pPr>
      <w:r>
        <w:rPr>
          <w:rFonts w:ascii="仿宋_GB2312" w:hAnsi="仿宋_GB2312" w:cs="仿宋_GB2312" w:eastAsia="仿宋_GB2312"/>
        </w:rPr>
        <w:t>3、联合体投标：本项目不接受联合体投标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1、联合体投标：本项目接受联合体投标。联合体投标的，应满足下列要求： ①联合体各方均应满足以上资格要求； ②联合体各方须签订联合体协议书，明确联合体牵头人和各方权利义务及职责分工，并将联合体协议书连同投标文件一并提交； ③联合体各方不得再以自己名义单独或参加其他联合体在本项目中投标。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西安市住房和城乡建设局（本级）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西安市雁塔南路300-9号A座西安建设大厦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61328991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年婷婷、韩昱晨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029-88210541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采购包1：4,500,000.00元</w:t>
            </w:r>
          </w:p>
          <w:p>
            <w:pPr>
              <w:pStyle w:val="null3"/>
            </w:pPr>
            <w:r>
              <w:rPr>
                <w:rFonts w:ascii="仿宋_GB2312" w:hAnsi="仿宋_GB2312" w:cs="仿宋_GB2312" w:eastAsia="仿宋_GB2312"/>
              </w:rPr>
              <w:t>采购包2：28,500,000.00元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按照国家标准下浮15%收费计取。中标单位在领取中标通知书前，须向招标代理机构一次性支付招标代理服务费。 招标代理服务费账户： 户名：陕西省采购招标有限责任公司 开户行：中国光大银行西安友谊路支行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西安市住房和城乡建设局（本级）</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西安市住房和城乡建设局（本级）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西安市住房和城乡建设局（本级）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交的成果文件，由采购人组织内部力量或专家进行审核。审核内容包括但不限于：成果内容是否完整、是否符合合同约定的编制深度、是否落实了相关法律法规及政策要求、是否通过了采购人组织的专家评审。审核通过并经市政府或相关主管部门最终确认或备案后，视为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提交的各片区成果文件（含实施方案、可行性研究报告、初步设计方案及概算）由采购人组织内部力量或专家进行分阶段或整体审核。审核内容包括但不限于：成果文件是否满足国家及地方规定的深度、是否符合立项审批要求、概算编制是否合理、是否具备上报资金申请的条件。成果文件经采购人书面确认，或通过相关主管部门审批（或取得批复文件）后，视为该阶段或整体验收合格。</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采购内容：</w:t>
      </w:r>
      <w:r>
        <w:rPr>
          <w:rFonts w:ascii="仿宋_GB2312" w:hAnsi="仿宋_GB2312" w:cs="仿宋_GB2312" w:eastAsia="仿宋_GB2312"/>
          <w:sz w:val="21"/>
          <w:color w:val="000000"/>
        </w:rPr>
        <w:t>落实市政府主要领导关于城市更新项目谋划申报建设工作的指示批示要求，聚焦补短板、惠民生、强弱项和软硬建设一体化，投资于人和投资于物相结合，围绕</w:t>
      </w:r>
      <w:r>
        <w:rPr>
          <w:rFonts w:ascii="仿宋_GB2312" w:hAnsi="仿宋_GB2312" w:cs="仿宋_GB2312" w:eastAsia="仿宋_GB2312"/>
          <w:sz w:val="21"/>
          <w:color w:val="000000"/>
        </w:rPr>
        <w:t>“项目该干可干能干成和真干快干实干”和“统筹组织一竿子插到底、谋划建设一竿子插到底、业主管理一竿子插到底”的工作要求，结合年度工作计划安排，开展2026年城市更新项目谋划申报建设各阶段工作技术咨询服务，划定全市城市更新项目谋划片区，明确分类别项目谋划重点领域，制定年度项目谋划申报工作计划，并编制形成更新片区实施方案（含“一图三表”）、可行性研究报告、初步设计方案和概算成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4,500,000.00</w:t>
      </w:r>
    </w:p>
    <w:p>
      <w:pPr>
        <w:pStyle w:val="null3"/>
      </w:pPr>
      <w:r>
        <w:rPr>
          <w:rFonts w:ascii="仿宋_GB2312" w:hAnsi="仿宋_GB2312" w:cs="仿宋_GB2312" w:eastAsia="仿宋_GB2312"/>
        </w:rPr>
        <w:t>采购包最高限价（元）: 4,500,000.00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城市更新项目谋划申报建设专项总体方案编制技术咨询服务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28,500,000.00</w:t>
      </w:r>
    </w:p>
    <w:p>
      <w:pPr>
        <w:pStyle w:val="null3"/>
      </w:pPr>
      <w:r>
        <w:rPr>
          <w:rFonts w:ascii="仿宋_GB2312" w:hAnsi="仿宋_GB2312" w:cs="仿宋_GB2312" w:eastAsia="仿宋_GB2312"/>
        </w:rPr>
        <w:t>采购包最高限价（元）: 28,500,000.00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城市更新片区建设实施方案编制技术咨询服务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标的名称：城市更新项目谋划申报建设专项总体方案编制技术咨询服务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w:t>
            </w:r>
            <w:r>
              <w:rPr>
                <w:rFonts w:ascii="仿宋_GB2312" w:hAnsi="仿宋_GB2312" w:cs="仿宋_GB2312" w:eastAsia="仿宋_GB2312"/>
                <w:sz w:val="24"/>
                <w:b/>
              </w:rPr>
              <w:t>概况</w:t>
            </w:r>
          </w:p>
          <w:p>
            <w:pPr>
              <w:pStyle w:val="null3"/>
              <w:jc w:val="left"/>
            </w:pPr>
            <w:r>
              <w:rPr>
                <w:rFonts w:ascii="仿宋_GB2312" w:hAnsi="仿宋_GB2312" w:cs="仿宋_GB2312" w:eastAsia="仿宋_GB2312"/>
                <w:sz w:val="24"/>
                <w:b/>
              </w:rPr>
              <w:t>1.项目名称：</w:t>
            </w:r>
            <w:r>
              <w:rPr>
                <w:rFonts w:ascii="仿宋_GB2312" w:hAnsi="仿宋_GB2312" w:cs="仿宋_GB2312" w:eastAsia="仿宋_GB2312"/>
                <w:sz w:val="24"/>
              </w:rPr>
              <w:t>城市更新项目谋划申报建设专项总体方案编制技术咨询服务</w:t>
            </w:r>
          </w:p>
          <w:p>
            <w:pPr>
              <w:pStyle w:val="null3"/>
              <w:jc w:val="left"/>
            </w:pPr>
            <w:r>
              <w:rPr>
                <w:rFonts w:ascii="仿宋_GB2312" w:hAnsi="仿宋_GB2312" w:cs="仿宋_GB2312" w:eastAsia="仿宋_GB2312"/>
                <w:sz w:val="24"/>
                <w:b/>
              </w:rPr>
              <w:t>2.采购内容：</w:t>
            </w:r>
            <w:r>
              <w:rPr>
                <w:rFonts w:ascii="仿宋_GB2312" w:hAnsi="仿宋_GB2312" w:cs="仿宋_GB2312" w:eastAsia="仿宋_GB2312"/>
                <w:sz w:val="24"/>
              </w:rPr>
              <w:t>城市更新项目谋划申报建设专项总体方案编制技术咨询服务</w:t>
            </w:r>
          </w:p>
          <w:p>
            <w:pPr>
              <w:pStyle w:val="null3"/>
              <w:jc w:val="left"/>
            </w:pPr>
            <w:r>
              <w:rPr>
                <w:rFonts w:ascii="仿宋_GB2312" w:hAnsi="仿宋_GB2312" w:cs="仿宋_GB2312" w:eastAsia="仿宋_GB2312"/>
                <w:sz w:val="24"/>
                <w:b/>
              </w:rPr>
              <w:t>3.主要目标：</w:t>
            </w:r>
            <w:r>
              <w:rPr>
                <w:rFonts w:ascii="仿宋_GB2312" w:hAnsi="仿宋_GB2312" w:cs="仿宋_GB2312" w:eastAsia="仿宋_GB2312"/>
                <w:sz w:val="24"/>
              </w:rPr>
              <w:t>落实市政府主要领导关于城市更新项目谋划申报建设工作的指示批示要求，聚焦补短板、惠民生、强弱项和软硬建设一体化，投资于人和投资于物相结合，围绕</w:t>
            </w:r>
            <w:r>
              <w:rPr>
                <w:rFonts w:ascii="仿宋_GB2312" w:hAnsi="仿宋_GB2312" w:cs="仿宋_GB2312" w:eastAsia="仿宋_GB2312"/>
                <w:sz w:val="24"/>
              </w:rPr>
              <w:t>“项目该干可干能干成和真干快干实干”和“统筹组织一竿子插到底、谋划建设一竿子插到底、业主管理一竿子插到底”的工作要求，结合年度工作计划安排，开展2026年城市更新项目谋划申报建设各阶段工作技术咨询服务，划定全市城市更新项目谋划片区，明确分类别项目谋划重点领域，制定年度项目谋划申报工作计划。</w:t>
            </w:r>
          </w:p>
          <w:p>
            <w:pPr>
              <w:pStyle w:val="null3"/>
              <w:jc w:val="both"/>
            </w:pPr>
            <w:r>
              <w:rPr>
                <w:rFonts w:ascii="仿宋_GB2312" w:hAnsi="仿宋_GB2312" w:cs="仿宋_GB2312" w:eastAsia="仿宋_GB2312"/>
                <w:sz w:val="24"/>
                <w:b/>
              </w:rPr>
              <w:t>二、技术商务要求</w:t>
            </w:r>
          </w:p>
          <w:p>
            <w:pPr>
              <w:pStyle w:val="null3"/>
              <w:jc w:val="both"/>
            </w:pPr>
            <w:r>
              <w:rPr>
                <w:rFonts w:ascii="仿宋_GB2312" w:hAnsi="仿宋_GB2312" w:cs="仿宋_GB2312" w:eastAsia="仿宋_GB2312"/>
                <w:sz w:val="24"/>
                <w:b/>
              </w:rPr>
              <w:t>1.项目范围</w:t>
            </w:r>
          </w:p>
          <w:p>
            <w:pPr>
              <w:pStyle w:val="null3"/>
              <w:ind w:firstLine="240"/>
              <w:jc w:val="both"/>
            </w:pPr>
            <w:r>
              <w:rPr>
                <w:rFonts w:ascii="仿宋_GB2312" w:hAnsi="仿宋_GB2312" w:cs="仿宋_GB2312" w:eastAsia="仿宋_GB2312"/>
                <w:sz w:val="24"/>
              </w:rPr>
              <w:t>在全市范围内，围绕百姓</w:t>
            </w:r>
            <w:r>
              <w:rPr>
                <w:rFonts w:ascii="仿宋_GB2312" w:hAnsi="仿宋_GB2312" w:cs="仿宋_GB2312" w:eastAsia="仿宋_GB2312"/>
                <w:sz w:val="24"/>
              </w:rPr>
              <w:t>“急难愁盼”需求、城市公共服务配套设施短板、提高城市安全韧性，统筹各类中央资金申报使用，结合年度工作计划安排，开展2026年城市更新项目谋划申报建设各阶段工作技术咨询服务，综合划定全市城市更新项目谋划片区。</w:t>
            </w:r>
          </w:p>
          <w:p>
            <w:pPr>
              <w:pStyle w:val="null3"/>
              <w:jc w:val="both"/>
            </w:pPr>
            <w:r>
              <w:rPr>
                <w:rFonts w:ascii="仿宋_GB2312" w:hAnsi="仿宋_GB2312" w:cs="仿宋_GB2312" w:eastAsia="仿宋_GB2312"/>
                <w:sz w:val="24"/>
                <w:b/>
              </w:rPr>
              <w:t>2.谋划方向</w:t>
            </w:r>
          </w:p>
          <w:p>
            <w:pPr>
              <w:pStyle w:val="null3"/>
              <w:ind w:firstLine="240"/>
              <w:jc w:val="both"/>
            </w:pPr>
            <w:r>
              <w:rPr>
                <w:rFonts w:ascii="仿宋_GB2312" w:hAnsi="仿宋_GB2312" w:cs="仿宋_GB2312" w:eastAsia="仿宋_GB2312"/>
                <w:sz w:val="24"/>
              </w:rPr>
              <w:t>紧密围绕中央资金支持政策与城市发展短板，将项目谋划精准聚焦于城镇老旧小区改造建设（含城市危旧房、城市嵌入式公共服务设施等）、老旧街区、厂区改造建设（含历史文化街区、重点片区内近代优秀建筑、历史建筑等）、城市公共空间改造建设（含公共服务设施、市政综合体、</w:t>
            </w:r>
            <w:r>
              <w:rPr>
                <w:rFonts w:ascii="仿宋_GB2312" w:hAnsi="仿宋_GB2312" w:cs="仿宋_GB2312" w:eastAsia="仿宋_GB2312"/>
                <w:sz w:val="24"/>
              </w:rPr>
              <w:t>TOD、综合能源站等）、市政基础设施改造建设（含地下管线管网设施、市政道路等）、城棚改、城中村（未拆迁）市政配套基础设施改造建设（含市政道路、地下管线管网设施、嵌入式公共服务设施等）等五大重点领域，确保项目谋划精准高效。</w:t>
            </w:r>
          </w:p>
          <w:p>
            <w:pPr>
              <w:pStyle w:val="null3"/>
            </w:pPr>
            <w:r>
              <w:rPr>
                <w:rFonts w:ascii="仿宋_GB2312" w:hAnsi="仿宋_GB2312" w:cs="仿宋_GB2312" w:eastAsia="仿宋_GB2312"/>
                <w:sz w:val="24"/>
                <w:b/>
              </w:rPr>
              <w:t>（一）城镇老旧小区改造建设（含城市危旧房、城市嵌入式公共服务设施等）</w:t>
            </w:r>
          </w:p>
          <w:p>
            <w:pPr>
              <w:pStyle w:val="null3"/>
            </w:pPr>
            <w:r>
              <w:rPr>
                <w:rFonts w:ascii="仿宋_GB2312" w:hAnsi="仿宋_GB2312" w:cs="仿宋_GB2312" w:eastAsia="仿宋_GB2312"/>
                <w:sz w:val="24"/>
              </w:rPr>
              <w:t>以城镇老旧小区为基本单元，以改造建设完整社区为目标，根据全市城镇老旧小区清单、危旧房清单，结合庭院管网安全隐患、人民群众更新改造意愿、城市嵌入式公共服务设施建设改造，谋划一批安全宜居、服务便利、设施完备的好小区、好社区。</w:t>
            </w:r>
          </w:p>
          <w:p>
            <w:pPr>
              <w:pStyle w:val="null3"/>
            </w:pPr>
            <w:r>
              <w:rPr>
                <w:rFonts w:ascii="仿宋_GB2312" w:hAnsi="仿宋_GB2312" w:cs="仿宋_GB2312" w:eastAsia="仿宋_GB2312"/>
                <w:sz w:val="24"/>
                <w:b/>
              </w:rPr>
              <w:t>（二）老旧街区、厂区改造建设（含历史文化街区、重点片区内近代优秀建筑、历史建筑等）</w:t>
            </w:r>
          </w:p>
          <w:p>
            <w:pPr>
              <w:pStyle w:val="null3"/>
            </w:pPr>
            <w:r>
              <w:rPr>
                <w:rFonts w:ascii="仿宋_GB2312" w:hAnsi="仿宋_GB2312" w:cs="仿宋_GB2312" w:eastAsia="仿宋_GB2312"/>
                <w:sz w:val="24"/>
              </w:rPr>
              <w:t>以老旧街区、老旧厂区为基本单元，以改造建设综合交通、历史文化、工业遗产、现代商业和好房子、好社区融为一体的特色街区、活力厂区为目标，根据各级历史文化街区、各级文保单位、历史建筑名录清单，结合老旧街区、老旧厂区存量建筑、产权单位更新改造意愿，围绕以用促保、以盘活存量带动提质增效改造思路，谋划一批老旧街区、厂区改造建设项目。</w:t>
            </w:r>
          </w:p>
          <w:p>
            <w:pPr>
              <w:pStyle w:val="null3"/>
            </w:pPr>
            <w:r>
              <w:rPr>
                <w:rFonts w:ascii="仿宋_GB2312" w:hAnsi="仿宋_GB2312" w:cs="仿宋_GB2312" w:eastAsia="仿宋_GB2312"/>
                <w:sz w:val="24"/>
                <w:b/>
              </w:rPr>
              <w:t>（三）城市公共空间改造建设（含公共服务设施、市政综合体、</w:t>
            </w:r>
            <w:r>
              <w:rPr>
                <w:rFonts w:ascii="仿宋_GB2312" w:hAnsi="仿宋_GB2312" w:cs="仿宋_GB2312" w:eastAsia="仿宋_GB2312"/>
                <w:sz w:val="24"/>
                <w:b/>
              </w:rPr>
              <w:t>TOD、综合能源站等）</w:t>
            </w:r>
          </w:p>
          <w:p>
            <w:pPr>
              <w:pStyle w:val="null3"/>
            </w:pPr>
            <w:r>
              <w:rPr>
                <w:rFonts w:ascii="仿宋_GB2312" w:hAnsi="仿宋_GB2312" w:cs="仿宋_GB2312" w:eastAsia="仿宋_GB2312"/>
                <w:sz w:val="24"/>
              </w:rPr>
              <w:t>以老旧交通枢纽、轨道交通场站与周边地区为基本单元，以及市政综合体、</w:t>
            </w:r>
            <w:r>
              <w:rPr>
                <w:rFonts w:ascii="仿宋_GB2312" w:hAnsi="仿宋_GB2312" w:cs="仿宋_GB2312" w:eastAsia="仿宋_GB2312"/>
                <w:sz w:val="24"/>
              </w:rPr>
              <w:t>TOD、综合能源站等城市基础设施、公共服务设施等要素，将消除隐患、优化功能、提高效能、惠及民生作为项目谋划方向，谋划一批功能提升、绿色低碳、智慧活力的城市公共空间改造建设项目。</w:t>
            </w:r>
          </w:p>
          <w:p>
            <w:pPr>
              <w:pStyle w:val="null3"/>
            </w:pPr>
            <w:r>
              <w:rPr>
                <w:rFonts w:ascii="仿宋_GB2312" w:hAnsi="仿宋_GB2312" w:cs="仿宋_GB2312" w:eastAsia="仿宋_GB2312"/>
                <w:sz w:val="24"/>
                <w:b/>
              </w:rPr>
              <w:t>（四）地下管线管网设施改造建设（含地下管线管网设施、市政道路等）</w:t>
            </w:r>
          </w:p>
          <w:p>
            <w:pPr>
              <w:pStyle w:val="null3"/>
            </w:pPr>
            <w:r>
              <w:rPr>
                <w:rFonts w:ascii="仿宋_GB2312" w:hAnsi="仿宋_GB2312" w:cs="仿宋_GB2312" w:eastAsia="仿宋_GB2312"/>
                <w:sz w:val="24"/>
              </w:rPr>
              <w:t>依据各类管网普查排查及风险评估成果、管网及设施老化更新计划，结合《</w:t>
            </w:r>
            <w:r>
              <w:rPr>
                <w:rFonts w:ascii="仿宋_GB2312" w:hAnsi="仿宋_GB2312" w:cs="仿宋_GB2312" w:eastAsia="仿宋_GB2312"/>
                <w:sz w:val="24"/>
              </w:rPr>
              <w:t>“1+5”城市地下管网及设施安全能力提升行动规划建设实施方案》 《西安市城市地下管网管廊及设施建设改造实施方案》，以道路、管线管廊一体谋划、一体实施为原则，谋划一批市政基础设施改造建设项目。</w:t>
            </w:r>
          </w:p>
          <w:p>
            <w:pPr>
              <w:pStyle w:val="null3"/>
            </w:pPr>
            <w:r>
              <w:rPr>
                <w:rFonts w:ascii="仿宋_GB2312" w:hAnsi="仿宋_GB2312" w:cs="仿宋_GB2312" w:eastAsia="仿宋_GB2312"/>
                <w:sz w:val="24"/>
                <w:b/>
              </w:rPr>
              <w:t>（五）城棚改、城中村（未拆迁）市政配套基础设施改造建设（含市政道路、地下管线管网设施、嵌入式公共服务设施等）</w:t>
            </w:r>
          </w:p>
          <w:p>
            <w:pPr>
              <w:pStyle w:val="null3"/>
            </w:pPr>
            <w:r>
              <w:rPr>
                <w:rFonts w:ascii="仿宋_GB2312" w:hAnsi="仿宋_GB2312" w:cs="仿宋_GB2312" w:eastAsia="仿宋_GB2312"/>
                <w:sz w:val="24"/>
              </w:rPr>
              <w:t>结合市政道路建设、地下管线管网设施和嵌入式公共服务设施等统筹推进，重点谋划城棚改项目中配套不到位的项目，以及未拆迁城中村的安全隐患整治、环境提升项目。</w:t>
            </w:r>
          </w:p>
          <w:p>
            <w:pPr>
              <w:pStyle w:val="null3"/>
            </w:pPr>
            <w:r>
              <w:rPr>
                <w:rFonts w:ascii="仿宋_GB2312" w:hAnsi="仿宋_GB2312" w:cs="仿宋_GB2312" w:eastAsia="仿宋_GB2312"/>
                <w:sz w:val="24"/>
                <w:b/>
              </w:rPr>
              <w:t>3</w:t>
            </w:r>
            <w:r>
              <w:rPr>
                <w:rFonts w:ascii="仿宋_GB2312" w:hAnsi="仿宋_GB2312" w:cs="仿宋_GB2312" w:eastAsia="仿宋_GB2312"/>
                <w:sz w:val="24"/>
                <w:b/>
              </w:rPr>
              <w:t>.成果清单</w:t>
            </w:r>
          </w:p>
          <w:p>
            <w:pPr>
              <w:pStyle w:val="null3"/>
              <w:ind w:firstLine="602"/>
            </w:pPr>
            <w:r>
              <w:rPr>
                <w:rFonts w:ascii="仿宋_GB2312" w:hAnsi="仿宋_GB2312" w:cs="仿宋_GB2312" w:eastAsia="仿宋_GB2312"/>
                <w:sz w:val="24"/>
              </w:rPr>
              <w:t>提交《</w:t>
            </w:r>
            <w:r>
              <w:rPr>
                <w:rFonts w:ascii="仿宋_GB2312" w:hAnsi="仿宋_GB2312" w:cs="仿宋_GB2312" w:eastAsia="仿宋_GB2312"/>
                <w:sz w:val="24"/>
              </w:rPr>
              <w:t>2026年西安市城市更新项目谋划申报建设专项总体方案》文本，提交形式包括：纸质版和电子版。</w:t>
            </w:r>
          </w:p>
          <w:p>
            <w:pPr>
              <w:pStyle w:val="null3"/>
              <w:ind w:firstLine="602"/>
            </w:pPr>
            <w:r>
              <w:rPr>
                <w:rFonts w:ascii="仿宋_GB2312" w:hAnsi="仿宋_GB2312" w:cs="仿宋_GB2312" w:eastAsia="仿宋_GB2312"/>
                <w:sz w:val="24"/>
              </w:rPr>
              <w:t>纸质版需装订成册，一式六份，加盖编制单位公章</w:t>
            </w:r>
            <w:r>
              <w:rPr>
                <w:rFonts w:ascii="仿宋_GB2312" w:hAnsi="仿宋_GB2312" w:cs="仿宋_GB2312" w:eastAsia="仿宋_GB2312"/>
                <w:sz w:val="24"/>
              </w:rPr>
              <w:t>/技术成果章；电子版需存储于U盘或光盘（不少于2份），同时发送至指定邮箱，电子版格式要求：文档类采用Word、PDF格式，图纸类采用CAD、GIS、JPG格式（高清），数据类采用Excel格式，确保可编辑、可查阅。</w:t>
            </w:r>
          </w:p>
          <w:p>
            <w:pPr>
              <w:pStyle w:val="null3"/>
            </w:pPr>
            <w:r>
              <w:rPr>
                <w:rFonts w:ascii="仿宋_GB2312" w:hAnsi="仿宋_GB2312" w:cs="仿宋_GB2312" w:eastAsia="仿宋_GB2312"/>
                <w:sz w:val="24"/>
                <w:b/>
              </w:rPr>
              <w:t>4.人员要求</w:t>
            </w:r>
          </w:p>
          <w:p>
            <w:pPr>
              <w:pStyle w:val="null3"/>
              <w:ind w:firstLine="218"/>
            </w:pPr>
            <w:r>
              <w:rPr>
                <w:rFonts w:ascii="仿宋_GB2312" w:hAnsi="仿宋_GB2312" w:cs="仿宋_GB2312" w:eastAsia="仿宋_GB2312"/>
                <w:sz w:val="24"/>
              </w:rPr>
              <w:t>（</w:t>
            </w:r>
            <w:r>
              <w:rPr>
                <w:rFonts w:ascii="仿宋_GB2312" w:hAnsi="仿宋_GB2312" w:cs="仿宋_GB2312" w:eastAsia="仿宋_GB2312"/>
                <w:sz w:val="24"/>
              </w:rPr>
              <w:t>1）投标人应为本项目组建专业的项目团队，团队人员不少于5人。</w:t>
            </w:r>
          </w:p>
          <w:p>
            <w:pPr>
              <w:pStyle w:val="null3"/>
              <w:ind w:firstLine="218"/>
            </w:pPr>
            <w:r>
              <w:rPr>
                <w:rFonts w:ascii="仿宋_GB2312" w:hAnsi="仿宋_GB2312" w:cs="仿宋_GB2312" w:eastAsia="仿宋_GB2312"/>
                <w:sz w:val="24"/>
              </w:rPr>
              <w:t>（</w:t>
            </w:r>
            <w:r>
              <w:rPr>
                <w:rFonts w:ascii="仿宋_GB2312" w:hAnsi="仿宋_GB2312" w:cs="仿宋_GB2312" w:eastAsia="仿宋_GB2312"/>
                <w:sz w:val="24"/>
              </w:rPr>
              <w:t>2）团队核心成员应至少包括：</w:t>
            </w:r>
          </w:p>
          <w:p>
            <w:pPr>
              <w:pStyle w:val="null3"/>
              <w:ind w:firstLine="218"/>
            </w:pPr>
            <w:r>
              <w:rPr>
                <w:rFonts w:ascii="仿宋_GB2312" w:hAnsi="仿宋_GB2312" w:cs="仿宋_GB2312" w:eastAsia="仿宋_GB2312"/>
                <w:sz w:val="24"/>
              </w:rPr>
              <w:t>项目负责人</w:t>
            </w:r>
            <w:r>
              <w:rPr>
                <w:rFonts w:ascii="仿宋_GB2312" w:hAnsi="仿宋_GB2312" w:cs="仿宋_GB2312" w:eastAsia="仿宋_GB2312"/>
                <w:sz w:val="24"/>
              </w:rPr>
              <w:t>1人：须具备注册城乡规划师执业资格；</w:t>
            </w:r>
          </w:p>
          <w:p>
            <w:pPr>
              <w:pStyle w:val="null3"/>
              <w:ind w:firstLine="218"/>
            </w:pPr>
            <w:r>
              <w:rPr>
                <w:rFonts w:ascii="仿宋_GB2312" w:hAnsi="仿宋_GB2312" w:cs="仿宋_GB2312" w:eastAsia="仿宋_GB2312"/>
                <w:sz w:val="24"/>
              </w:rPr>
              <w:t>专业技术人员</w:t>
            </w:r>
            <w:r>
              <w:rPr>
                <w:rFonts w:ascii="仿宋_GB2312" w:hAnsi="仿宋_GB2312" w:cs="仿宋_GB2312" w:eastAsia="仿宋_GB2312"/>
                <w:sz w:val="24"/>
              </w:rPr>
              <w:t>3人：须具备相关专业中级及以上技术职称或相应执业资格；</w:t>
            </w:r>
          </w:p>
          <w:p>
            <w:pPr>
              <w:pStyle w:val="null3"/>
              <w:ind w:firstLine="218"/>
            </w:pPr>
            <w:r>
              <w:rPr>
                <w:rFonts w:ascii="仿宋_GB2312" w:hAnsi="仿宋_GB2312" w:cs="仿宋_GB2312" w:eastAsia="仿宋_GB2312"/>
                <w:sz w:val="24"/>
              </w:rPr>
              <w:t>辅助人员</w:t>
            </w:r>
            <w:r>
              <w:rPr>
                <w:rFonts w:ascii="仿宋_GB2312" w:hAnsi="仿宋_GB2312" w:cs="仿宋_GB2312" w:eastAsia="仿宋_GB2312"/>
                <w:sz w:val="24"/>
              </w:rPr>
              <w:t>1人：须具备相关专业初级及以上技术职称或相应从业经验。</w:t>
            </w:r>
          </w:p>
          <w:p>
            <w:pPr>
              <w:pStyle w:val="null3"/>
              <w:ind w:firstLine="218"/>
            </w:pPr>
            <w:r>
              <w:rPr>
                <w:rFonts w:ascii="仿宋_GB2312" w:hAnsi="仿宋_GB2312" w:cs="仿宋_GB2312" w:eastAsia="仿宋_GB2312"/>
                <w:sz w:val="24"/>
              </w:rPr>
              <w:t>（</w:t>
            </w:r>
            <w:r>
              <w:rPr>
                <w:rFonts w:ascii="仿宋_GB2312" w:hAnsi="仿宋_GB2312" w:cs="仿宋_GB2312" w:eastAsia="仿宋_GB2312"/>
                <w:sz w:val="24"/>
              </w:rPr>
              <w:t>3）其中2-3人需在项目开展期间，根据采购人需要，在采购人提供的办公场所提供现场咨询服务，确保项目沟通顺畅、响应及时。</w:t>
            </w:r>
          </w:p>
          <w:p>
            <w:pPr>
              <w:pStyle w:val="null3"/>
              <w:jc w:val="both"/>
            </w:pPr>
            <w:r>
              <w:rPr>
                <w:rFonts w:ascii="仿宋_GB2312" w:hAnsi="仿宋_GB2312" w:cs="仿宋_GB2312" w:eastAsia="仿宋_GB2312"/>
                <w:sz w:val="24"/>
                <w:b/>
              </w:rPr>
              <w:t>5.服务期限</w:t>
            </w:r>
          </w:p>
          <w:p>
            <w:pPr>
              <w:pStyle w:val="null3"/>
              <w:jc w:val="both"/>
            </w:pPr>
            <w:r>
              <w:rPr>
                <w:rFonts w:ascii="仿宋_GB2312" w:hAnsi="仿宋_GB2312" w:cs="仿宋_GB2312" w:eastAsia="仿宋_GB2312"/>
                <w:sz w:val="24"/>
              </w:rPr>
              <w:t>自政府采购合同签订生效之日起至本项目所有服务内容完成之日止。</w:t>
            </w:r>
          </w:p>
          <w:p>
            <w:pPr>
              <w:pStyle w:val="null3"/>
              <w:jc w:val="both"/>
            </w:pPr>
            <w:r>
              <w:rPr>
                <w:rFonts w:ascii="仿宋_GB2312" w:hAnsi="仿宋_GB2312" w:cs="仿宋_GB2312" w:eastAsia="仿宋_GB2312"/>
                <w:sz w:val="24"/>
                <w:b/>
              </w:rPr>
              <w:t>6.验收标准</w:t>
            </w:r>
          </w:p>
          <w:p>
            <w:pPr>
              <w:pStyle w:val="null3"/>
              <w:ind w:firstLine="240"/>
              <w:jc w:val="both"/>
            </w:pPr>
            <w:r>
              <w:rPr>
                <w:rFonts w:ascii="仿宋_GB2312" w:hAnsi="仿宋_GB2312" w:cs="仿宋_GB2312" w:eastAsia="仿宋_GB2312"/>
                <w:sz w:val="24"/>
              </w:rPr>
              <w:t>投标人提交的成果文件，由采购人组织内部力量或专家进行审核。审核内容包括但不限于：成果内容是否完整、是否符合合同约定的编制深度、是否落实了相关法律法规及政策要求、是否通过了采购人组织的专家评审。审核通过并经市政府或相关主管部门最终确认或备案后，视为验收合格。</w:t>
            </w:r>
          </w:p>
          <w:p>
            <w:pPr>
              <w:pStyle w:val="null3"/>
              <w:jc w:val="both"/>
            </w:pPr>
            <w:r>
              <w:rPr>
                <w:rFonts w:ascii="仿宋_GB2312" w:hAnsi="仿宋_GB2312" w:cs="仿宋_GB2312" w:eastAsia="仿宋_GB2312"/>
                <w:sz w:val="24"/>
                <w:b/>
              </w:rPr>
              <w:t>7.服务标准、依据</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1）法律法规依据</w:t>
            </w:r>
          </w:p>
          <w:p>
            <w:pPr>
              <w:pStyle w:val="null3"/>
              <w:jc w:val="both"/>
            </w:pPr>
            <w:r>
              <w:rPr>
                <w:rFonts w:ascii="仿宋_GB2312" w:hAnsi="仿宋_GB2312" w:cs="仿宋_GB2312" w:eastAsia="仿宋_GB2312"/>
                <w:sz w:val="24"/>
              </w:rPr>
              <w:t>《中华人民共和国城乡规划法》；《西安市城市更新办法》；；国家、陕西省及西安市其他相关法律、法规和规章</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2）政策规划依据</w:t>
            </w:r>
          </w:p>
          <w:p>
            <w:pPr>
              <w:pStyle w:val="null3"/>
              <w:jc w:val="both"/>
            </w:pPr>
            <w:r>
              <w:rPr>
                <w:rFonts w:ascii="仿宋_GB2312" w:hAnsi="仿宋_GB2312" w:cs="仿宋_GB2312" w:eastAsia="仿宋_GB2312"/>
                <w:sz w:val="24"/>
              </w:rPr>
              <w:t>国家住房和城乡建设部关于城市更新、城市体检、项目谋划等相关政策文件及技术指南；陕西省住房和城乡建设厅关于城市更新规划编制的相关指导意见、《中共西安市委关于制定国民经济和社会发展第十五个五年规划的建议》；西安市国土空间总体规划、城市更新专项规划、城市体检报告等上位规划文件；西安市政府关于城市更新项目谋划申报工作的相关批示精神及工作要求。</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3）技术标准与规范</w:t>
            </w:r>
          </w:p>
          <w:p>
            <w:pPr>
              <w:pStyle w:val="null3"/>
              <w:jc w:val="both"/>
            </w:pPr>
            <w:r>
              <w:rPr>
                <w:rFonts w:ascii="仿宋_GB2312" w:hAnsi="仿宋_GB2312" w:cs="仿宋_GB2312" w:eastAsia="仿宋_GB2312"/>
                <w:sz w:val="24"/>
              </w:rPr>
              <w:t>国家及行业现行有效的城乡规划相关技术标准、规范及规程、《国土空间规划城市体检评估规程》、陕西省及西安市地方性规划编制技术规定、其他与城市更新项目谋划相关的技术导则和规范</w:t>
            </w:r>
          </w:p>
          <w:p>
            <w:pPr>
              <w:pStyle w:val="null3"/>
              <w:jc w:val="both"/>
            </w:pPr>
            <w:r>
              <w:rPr>
                <w:rFonts w:ascii="仿宋_GB2312" w:hAnsi="仿宋_GB2312" w:cs="仿宋_GB2312" w:eastAsia="仿宋_GB2312"/>
                <w:sz w:val="24"/>
              </w:rPr>
              <w:t>注：上述依据如有更新或调整，以国家及地方发布的最新版本为准。编制过程中应确保成果符合现行有效的政策导向和技术要求。</w:t>
            </w:r>
          </w:p>
          <w:p>
            <w:pPr>
              <w:pStyle w:val="null3"/>
              <w:jc w:val="both"/>
            </w:pPr>
            <w:r>
              <w:rPr>
                <w:rFonts w:ascii="仿宋_GB2312" w:hAnsi="仿宋_GB2312" w:cs="仿宋_GB2312" w:eastAsia="仿宋_GB2312"/>
                <w:sz w:val="24"/>
                <w:b/>
              </w:rPr>
              <w:t>8.计费依据</w:t>
            </w:r>
          </w:p>
          <w:p>
            <w:pPr>
              <w:pStyle w:val="null3"/>
              <w:ind w:firstLine="400"/>
              <w:jc w:val="both"/>
            </w:pPr>
            <w:r>
              <w:rPr>
                <w:rFonts w:ascii="仿宋_GB2312" w:hAnsi="仿宋_GB2312" w:cs="仿宋_GB2312" w:eastAsia="仿宋_GB2312"/>
                <w:sz w:val="24"/>
              </w:rPr>
              <w:t>参照中国城市规划协会《城乡规划设计计费指导意见》（</w:t>
            </w:r>
            <w:r>
              <w:rPr>
                <w:rFonts w:ascii="仿宋_GB2312" w:hAnsi="仿宋_GB2312" w:cs="仿宋_GB2312" w:eastAsia="仿宋_GB2312"/>
                <w:sz w:val="24"/>
              </w:rPr>
              <w:t>2017修订）中“13.5 更新改造类专项规划”的相关规定，综合考虑本项目工作内容深度、西安市作为特大城市的规划计费标准等因素，结合同类项目市场行情，确定预算金额。主要计费依据文件：《城乡规划设计计费指导意见》（2017修订）。</w:t>
            </w:r>
          </w:p>
          <w:p>
            <w:pPr>
              <w:pStyle w:val="null3"/>
              <w:jc w:val="both"/>
            </w:pPr>
            <w:r>
              <w:rPr>
                <w:rFonts w:ascii="仿宋_GB2312" w:hAnsi="仿宋_GB2312" w:cs="仿宋_GB2312" w:eastAsia="仿宋_GB2312"/>
                <w:sz w:val="24"/>
                <w:b/>
              </w:rPr>
              <w:t>9.付款方式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自合同签订之后，乙方提交项目总体工作方案，达到付款条件起</w:t>
            </w:r>
            <w:r>
              <w:rPr>
                <w:rFonts w:ascii="仿宋_GB2312" w:hAnsi="仿宋_GB2312" w:cs="仿宋_GB2312" w:eastAsia="仿宋_GB2312"/>
                <w:sz w:val="24"/>
              </w:rPr>
              <w:t>15日内，支付合同总金额的 30.00%。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乙方提交成果文件并通过甲方初步审核后，达到付款条件起</w:t>
            </w:r>
            <w:r>
              <w:rPr>
                <w:rFonts w:ascii="仿宋_GB2312" w:hAnsi="仿宋_GB2312" w:cs="仿宋_GB2312" w:eastAsia="仿宋_GB2312"/>
                <w:sz w:val="24"/>
              </w:rPr>
              <w:t>15日内，支付合同总金额的 60.00%。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项目成果经通过甲方审核验收合格后，达到付款条件起</w:t>
            </w:r>
            <w:r>
              <w:rPr>
                <w:rFonts w:ascii="仿宋_GB2312" w:hAnsi="仿宋_GB2312" w:cs="仿宋_GB2312" w:eastAsia="仿宋_GB2312"/>
                <w:sz w:val="24"/>
              </w:rPr>
              <w:t>15日内，支付合同总金额的 10.00%。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4）甲方向乙方付款前，乙方向甲方出具相应足额发票；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5）如甲方因财政资金未拨付而未按时向乙方付款，视财政资金到位情况，进行结算。</w:t>
            </w:r>
          </w:p>
          <w:p>
            <w:pPr>
              <w:pStyle w:val="null3"/>
              <w:jc w:val="left"/>
            </w:pPr>
            <w:r>
              <w:rPr>
                <w:rFonts w:ascii="仿宋_GB2312" w:hAnsi="仿宋_GB2312" w:cs="仿宋_GB2312" w:eastAsia="仿宋_GB2312"/>
                <w:sz w:val="24"/>
                <w:b/>
              </w:rPr>
              <w:t>三、其他要求</w:t>
            </w:r>
          </w:p>
          <w:p>
            <w:pPr>
              <w:pStyle w:val="null3"/>
              <w:jc w:val="both"/>
            </w:pPr>
            <w:r>
              <w:rPr>
                <w:rFonts w:ascii="仿宋_GB2312" w:hAnsi="仿宋_GB2312" w:cs="仿宋_GB2312" w:eastAsia="仿宋_GB2312"/>
                <w:sz w:val="24"/>
              </w:rPr>
              <w:t>（一）、保密措施</w:t>
            </w:r>
          </w:p>
          <w:p>
            <w:pPr>
              <w:pStyle w:val="null3"/>
              <w:ind w:firstLine="400"/>
              <w:jc w:val="both"/>
            </w:pPr>
            <w:r>
              <w:rPr>
                <w:rFonts w:ascii="仿宋_GB2312" w:hAnsi="仿宋_GB2312" w:cs="仿宋_GB2312" w:eastAsia="仿宋_GB2312"/>
                <w:sz w:val="24"/>
              </w:rPr>
              <w:t>甲、乙双方应对其掌握或知悉的对方的秘密信息承担保密义务至对方公开之日止，未经对方书面同意或许可，不得将其用于本合同以外的项目，也不得向任何第三方泄露、提供或许可使用</w:t>
            </w:r>
            <w:r>
              <w:rPr>
                <w:rFonts w:ascii="仿宋_GB2312" w:hAnsi="仿宋_GB2312" w:cs="仿宋_GB2312" w:eastAsia="仿宋_GB2312"/>
                <w:sz w:val="24"/>
              </w:rPr>
              <w:t>;如一方违反保密约定，应依据本合同约定承担违约责任。双方的秘密信息范围如下: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1）双方未公开的技术信息和经营信息，包括商业秘密、技术秘密、技术方案、技术图纸、专利技术与投标文件等，且无论上述信息储存在纸质文件、计算机软件或其他载体。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2）双方与本项目相关的计算机软件、视听资料、视频资料，以及其他借助计算机储存、浏览、传递的电子信息资料。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3）双方按照法律、法规规定或者合同约定使用并负有保密义务的其他第三方的商业秘密和其他信息。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4）一方向另一方提出明确要求保密的其他事项</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不可抗力条款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1）不可抗力是指因无法预见、无法避免且无法克服之原因发生的事项，包括但不限于地震、台风、海啸、瘟疫、洪水、重大疫情、政府行为、战争、恐怖袭击等客观情况。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任何一方因不可抗力导致不能履行合同，则合同履行期可延长，其延长期与不可抗力影响期相同，并可根据实际需要书面变更合同。任何一方对于因不可抗力致使本合同不能履行或不能全部履行而给对方造成的任何损失不承担违约责任。</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3）如果发生不可抗力事件,则受影响的一方应及时通知对方,并出具证明文件。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4）如果因不可抗力原因导致本合同终止，则任何一方均无需继续履行本合同义务，也无需为此向另一方承担任何责任，由双方协商进行费用结算和阶段成果提交。</w:t>
            </w:r>
          </w:p>
          <w:p>
            <w:pPr>
              <w:pStyle w:val="null3"/>
              <w:jc w:val="both"/>
            </w:pPr>
            <w:r>
              <w:rPr>
                <w:rFonts w:ascii="仿宋_GB2312" w:hAnsi="仿宋_GB2312" w:cs="仿宋_GB2312" w:eastAsia="仿宋_GB2312"/>
                <w:sz w:val="24"/>
              </w:rPr>
              <w:t>（三）违约责任</w:t>
            </w:r>
          </w:p>
          <w:p>
            <w:pPr>
              <w:pStyle w:val="null3"/>
              <w:jc w:val="both"/>
            </w:pPr>
            <w:r>
              <w:rPr>
                <w:rFonts w:ascii="仿宋_GB2312" w:hAnsi="仿宋_GB2312" w:cs="仿宋_GB2312" w:eastAsia="仿宋_GB2312"/>
                <w:sz w:val="24"/>
              </w:rPr>
              <w:t>1. 甲、乙任何一方不履行本合同义务或者履行本合同义务不符合约定的，应当承担继续履行、采取补救措施或者赔偿损失等违约责任。</w:t>
            </w:r>
          </w:p>
          <w:p>
            <w:pPr>
              <w:pStyle w:val="null3"/>
              <w:jc w:val="both"/>
            </w:pPr>
            <w:r>
              <w:rPr>
                <w:rFonts w:ascii="仿宋_GB2312" w:hAnsi="仿宋_GB2312" w:cs="仿宋_GB2312" w:eastAsia="仿宋_GB2312"/>
                <w:sz w:val="24"/>
              </w:rPr>
              <w:t>2. 乙方对设计资料及文件出现的遗漏或错误负责修改或补充。由于乙方错误造成甲方损失，乙方除负责采取补救措施外，应免收直接受损失部分的报酬。</w:t>
            </w:r>
          </w:p>
          <w:p>
            <w:pPr>
              <w:pStyle w:val="null3"/>
              <w:jc w:val="both"/>
            </w:pPr>
            <w:r>
              <w:rPr>
                <w:rFonts w:ascii="仿宋_GB2312" w:hAnsi="仿宋_GB2312" w:cs="仿宋_GB2312" w:eastAsia="仿宋_GB2312"/>
                <w:sz w:val="24"/>
              </w:rPr>
              <w:t>3. 若甲方要求乙方违反国家和地方法律法规及相关技术标准、规范、规定进行技术服务工作，乙方有权单方解除合同。</w:t>
            </w:r>
          </w:p>
          <w:p>
            <w:pPr>
              <w:pStyle w:val="null3"/>
              <w:jc w:val="both"/>
            </w:pPr>
            <w:r>
              <w:rPr>
                <w:rFonts w:ascii="仿宋_GB2312" w:hAnsi="仿宋_GB2312" w:cs="仿宋_GB2312" w:eastAsia="仿宋_GB2312"/>
                <w:sz w:val="24"/>
              </w:rPr>
              <w:t>4. 双方如未遵守上述保密约定的，违约方应按本合同报酬总额的百分之二向对方支付违约金;如因泄漏秘密信息给对方造成损失，还应赔偿对方的实际损失。</w:t>
            </w:r>
          </w:p>
          <w:p>
            <w:pPr>
              <w:pStyle w:val="null3"/>
              <w:spacing w:before="105" w:after="105"/>
              <w:jc w:val="left"/>
            </w:pPr>
            <w:r>
              <w:rPr>
                <w:rFonts w:ascii="仿宋_GB2312" w:hAnsi="仿宋_GB2312" w:cs="仿宋_GB2312" w:eastAsia="仿宋_GB2312"/>
                <w:sz w:val="24"/>
              </w:rPr>
              <w:t>（四）本项目评审环节按合同包序号依次进行评审，如投标人参与多个合同包的投标，但为确保服务质量，仅可中标</w:t>
            </w:r>
            <w:r>
              <w:rPr>
                <w:rFonts w:ascii="仿宋_GB2312" w:hAnsi="仿宋_GB2312" w:cs="仿宋_GB2312" w:eastAsia="仿宋_GB2312"/>
                <w:sz w:val="24"/>
              </w:rPr>
              <w:t>1 个合同包，后续合同包评审时不作为中标候选人推荐。</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标的名称：城市更新片区建设实施方案编制技术咨询服务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0"/>
                <w:b/>
              </w:rPr>
              <w:t>一、项目</w:t>
            </w:r>
            <w:r>
              <w:rPr>
                <w:rFonts w:ascii="仿宋_GB2312" w:hAnsi="仿宋_GB2312" w:cs="仿宋_GB2312" w:eastAsia="仿宋_GB2312"/>
                <w:sz w:val="20"/>
                <w:b/>
              </w:rPr>
              <w:t>概况</w:t>
            </w:r>
          </w:p>
          <w:p>
            <w:pPr>
              <w:pStyle w:val="null3"/>
              <w:spacing w:before="105" w:after="105"/>
              <w:ind w:firstLine="201"/>
              <w:jc w:val="left"/>
            </w:pPr>
            <w:r>
              <w:rPr>
                <w:rFonts w:ascii="仿宋_GB2312" w:hAnsi="仿宋_GB2312" w:cs="仿宋_GB2312" w:eastAsia="仿宋_GB2312"/>
                <w:sz w:val="20"/>
                <w:b/>
              </w:rPr>
              <w:t>1.项目名称：</w:t>
            </w:r>
            <w:r>
              <w:rPr>
                <w:rFonts w:ascii="仿宋_GB2312" w:hAnsi="仿宋_GB2312" w:cs="仿宋_GB2312" w:eastAsia="仿宋_GB2312"/>
                <w:sz w:val="20"/>
              </w:rPr>
              <w:t>城市更新片区建设实施方案编制技术咨询服务</w:t>
            </w:r>
          </w:p>
          <w:p>
            <w:pPr>
              <w:pStyle w:val="null3"/>
              <w:spacing w:before="105" w:after="105"/>
              <w:ind w:firstLine="201"/>
              <w:jc w:val="left"/>
            </w:pPr>
            <w:r>
              <w:rPr>
                <w:rFonts w:ascii="仿宋_GB2312" w:hAnsi="仿宋_GB2312" w:cs="仿宋_GB2312" w:eastAsia="仿宋_GB2312"/>
                <w:sz w:val="20"/>
                <w:b/>
              </w:rPr>
              <w:t>2.采购内容：</w:t>
            </w:r>
            <w:r>
              <w:rPr>
                <w:rFonts w:ascii="仿宋_GB2312" w:hAnsi="仿宋_GB2312" w:cs="仿宋_GB2312" w:eastAsia="仿宋_GB2312"/>
                <w:sz w:val="20"/>
              </w:rPr>
              <w:t>城市更新片区建设实施方案编制技术咨询服务</w:t>
            </w:r>
          </w:p>
          <w:p>
            <w:pPr>
              <w:pStyle w:val="null3"/>
              <w:spacing w:before="105" w:after="105"/>
              <w:ind w:firstLine="201"/>
              <w:jc w:val="left"/>
            </w:pPr>
            <w:r>
              <w:rPr>
                <w:rFonts w:ascii="仿宋_GB2312" w:hAnsi="仿宋_GB2312" w:cs="仿宋_GB2312" w:eastAsia="仿宋_GB2312"/>
                <w:sz w:val="20"/>
                <w:b/>
              </w:rPr>
              <w:t>3.主要目标：</w:t>
            </w:r>
            <w:r>
              <w:rPr>
                <w:rFonts w:ascii="仿宋_GB2312" w:hAnsi="仿宋_GB2312" w:cs="仿宋_GB2312" w:eastAsia="仿宋_GB2312"/>
                <w:sz w:val="20"/>
              </w:rPr>
              <w:t>落实市政府主要领导关于城市更新项目谋划申报建设工作的指示批示要求，聚焦补短板、惠民生、强弱项和软硬建设一体化，投资于人和投资于物相结合，围绕</w:t>
            </w:r>
            <w:r>
              <w:rPr>
                <w:rFonts w:ascii="仿宋_GB2312" w:hAnsi="仿宋_GB2312" w:cs="仿宋_GB2312" w:eastAsia="仿宋_GB2312"/>
                <w:sz w:val="20"/>
              </w:rPr>
              <w:t>“</w:t>
            </w:r>
            <w:r>
              <w:rPr>
                <w:rFonts w:ascii="仿宋_GB2312" w:hAnsi="仿宋_GB2312" w:cs="仿宋_GB2312" w:eastAsia="仿宋_GB2312"/>
                <w:sz w:val="20"/>
              </w:rPr>
              <w:t>项目该干可干能干成和真干快干实干</w:t>
            </w:r>
            <w:r>
              <w:rPr>
                <w:rFonts w:ascii="仿宋_GB2312" w:hAnsi="仿宋_GB2312" w:cs="仿宋_GB2312" w:eastAsia="仿宋_GB2312"/>
                <w:sz w:val="20"/>
              </w:rPr>
              <w:t>”</w:t>
            </w:r>
            <w:r>
              <w:rPr>
                <w:rFonts w:ascii="仿宋_GB2312" w:hAnsi="仿宋_GB2312" w:cs="仿宋_GB2312" w:eastAsia="仿宋_GB2312"/>
                <w:sz w:val="20"/>
              </w:rPr>
              <w:t>和</w:t>
            </w:r>
            <w:r>
              <w:rPr>
                <w:rFonts w:ascii="仿宋_GB2312" w:hAnsi="仿宋_GB2312" w:cs="仿宋_GB2312" w:eastAsia="仿宋_GB2312"/>
                <w:sz w:val="20"/>
              </w:rPr>
              <w:t>“</w:t>
            </w:r>
            <w:r>
              <w:rPr>
                <w:rFonts w:ascii="仿宋_GB2312" w:hAnsi="仿宋_GB2312" w:cs="仿宋_GB2312" w:eastAsia="仿宋_GB2312"/>
                <w:sz w:val="20"/>
              </w:rPr>
              <w:t>统筹组织一竿子插到底、谋划建设一竿子插到底、业主管理一竿子插到底</w:t>
            </w:r>
            <w:r>
              <w:rPr>
                <w:rFonts w:ascii="仿宋_GB2312" w:hAnsi="仿宋_GB2312" w:cs="仿宋_GB2312" w:eastAsia="仿宋_GB2312"/>
                <w:sz w:val="20"/>
              </w:rPr>
              <w:t>”</w:t>
            </w:r>
            <w:r>
              <w:rPr>
                <w:rFonts w:ascii="仿宋_GB2312" w:hAnsi="仿宋_GB2312" w:cs="仿宋_GB2312" w:eastAsia="仿宋_GB2312"/>
                <w:sz w:val="20"/>
              </w:rPr>
              <w:t>的工作要求，结合年度工作计划安排，开展2026年城市更新项目谋划申报建设各阶段工作技术咨询服务，编制形成更新片区实施方案，包含</w:t>
            </w:r>
            <w:r>
              <w:rPr>
                <w:rFonts w:ascii="仿宋_GB2312" w:hAnsi="仿宋_GB2312" w:cs="仿宋_GB2312" w:eastAsia="仿宋_GB2312"/>
                <w:sz w:val="20"/>
              </w:rPr>
              <w:t>“</w:t>
            </w:r>
            <w:r>
              <w:rPr>
                <w:rFonts w:ascii="仿宋_GB2312" w:hAnsi="仿宋_GB2312" w:cs="仿宋_GB2312" w:eastAsia="仿宋_GB2312"/>
                <w:sz w:val="20"/>
              </w:rPr>
              <w:t>一图三表</w:t>
            </w:r>
            <w:r>
              <w:rPr>
                <w:rFonts w:ascii="仿宋_GB2312" w:hAnsi="仿宋_GB2312" w:cs="仿宋_GB2312" w:eastAsia="仿宋_GB2312"/>
                <w:sz w:val="20"/>
              </w:rPr>
              <w:t>”</w:t>
            </w:r>
            <w:r>
              <w:rPr>
                <w:rFonts w:ascii="仿宋_GB2312" w:hAnsi="仿宋_GB2312" w:cs="仿宋_GB2312" w:eastAsia="仿宋_GB2312"/>
                <w:sz w:val="20"/>
              </w:rPr>
              <w:t>、可行性研究报告、初步设计和概算成果。</w:t>
            </w:r>
          </w:p>
          <w:p>
            <w:pPr>
              <w:pStyle w:val="null3"/>
              <w:spacing w:before="105" w:after="105"/>
              <w:jc w:val="both"/>
            </w:pPr>
            <w:r>
              <w:rPr>
                <w:rFonts w:ascii="仿宋_GB2312" w:hAnsi="仿宋_GB2312" w:cs="仿宋_GB2312" w:eastAsia="仿宋_GB2312"/>
                <w:sz w:val="20"/>
                <w:b/>
              </w:rPr>
              <w:t>二、技术商务要求</w:t>
            </w:r>
          </w:p>
          <w:p>
            <w:pPr>
              <w:pStyle w:val="null3"/>
              <w:spacing w:before="105" w:after="105"/>
              <w:ind w:firstLine="221"/>
              <w:jc w:val="both"/>
            </w:pPr>
            <w:r>
              <w:rPr>
                <w:rFonts w:ascii="仿宋_GB2312" w:hAnsi="仿宋_GB2312" w:cs="仿宋_GB2312" w:eastAsia="仿宋_GB2312"/>
                <w:sz w:val="20"/>
                <w:b/>
              </w:rPr>
              <w:t>1.项目范围</w:t>
            </w:r>
          </w:p>
          <w:p>
            <w:pPr>
              <w:pStyle w:val="null3"/>
              <w:spacing w:before="105" w:after="105"/>
              <w:ind w:firstLine="220"/>
              <w:jc w:val="both"/>
            </w:pPr>
            <w:r>
              <w:rPr>
                <w:rFonts w:ascii="仿宋_GB2312" w:hAnsi="仿宋_GB2312" w:cs="仿宋_GB2312" w:eastAsia="仿宋_GB2312"/>
                <w:sz w:val="20"/>
              </w:rPr>
              <w:t>围绕百姓</w:t>
            </w:r>
            <w:r>
              <w:rPr>
                <w:rFonts w:ascii="仿宋_GB2312" w:hAnsi="仿宋_GB2312" w:cs="仿宋_GB2312" w:eastAsia="仿宋_GB2312"/>
                <w:sz w:val="20"/>
              </w:rPr>
              <w:t>“</w:t>
            </w:r>
            <w:r>
              <w:rPr>
                <w:rFonts w:ascii="仿宋_GB2312" w:hAnsi="仿宋_GB2312" w:cs="仿宋_GB2312" w:eastAsia="仿宋_GB2312"/>
                <w:sz w:val="20"/>
              </w:rPr>
              <w:t>急难愁盼</w:t>
            </w:r>
            <w:r>
              <w:rPr>
                <w:rFonts w:ascii="仿宋_GB2312" w:hAnsi="仿宋_GB2312" w:cs="仿宋_GB2312" w:eastAsia="仿宋_GB2312"/>
                <w:sz w:val="20"/>
              </w:rPr>
              <w:t>”</w:t>
            </w:r>
            <w:r>
              <w:rPr>
                <w:rFonts w:ascii="仿宋_GB2312" w:hAnsi="仿宋_GB2312" w:cs="仿宋_GB2312" w:eastAsia="仿宋_GB2312"/>
                <w:sz w:val="20"/>
              </w:rPr>
              <w:t>需求、城市公共服务配套设施短板、提高城市安全韧性，在各区县、开发区的重点问题区域内谋划生成城市更新片区。重点区域范围如下:</w:t>
            </w:r>
          </w:p>
          <w:p>
            <w:pPr>
              <w:pStyle w:val="null3"/>
              <w:spacing w:before="105" w:after="105"/>
              <w:ind w:firstLine="220"/>
              <w:jc w:val="both"/>
            </w:pPr>
            <w:r>
              <w:rPr>
                <w:rFonts w:ascii="仿宋_GB2312" w:hAnsi="仿宋_GB2312" w:cs="仿宋_GB2312" w:eastAsia="仿宋_GB2312"/>
                <w:sz w:val="20"/>
              </w:rPr>
              <w:t>新城区二环东路、华清西路、兴庆路、北大街、解放路、环城东路、万寿北路、韩森路、新兴南路等周边区域；碑林区二环南路、兴庆路、友谊东路、太白北路、丰镐东路、西大街、柿园路等周边区域；莲湖区劳动南路、莲湖路、劳动路、大庆路、汉城南路、北大街等周边区域；雁塔区太白南路、青龙路、雁翔路、二环南路等周边区域；灞桥区长乐东路、纺织城西街、纺科路等周边区域；未央区太华南路、太元路、凤城四路、红旗路、凤城八路等周边区域；阎良区前进西路、航空三路、蓝天路、人民东路周边区域；长安区北长安街、东长安街、西南路、西安环线南侧等周边区域；高陵区西韩街、渭阳九路、南环西路周边区域；鄠邑区丰京路、人民路等周边区域；西咸新区水厂路、太和路、三桥新街、建章路等周边区域；高新区科技六路、沣惠南路等周边区域；经开区凤城八路、未央路等周边区域；</w:t>
            </w:r>
          </w:p>
          <w:p>
            <w:pPr>
              <w:pStyle w:val="null3"/>
              <w:spacing w:before="105" w:after="105"/>
              <w:ind w:firstLine="221"/>
              <w:jc w:val="both"/>
            </w:pPr>
            <w:r>
              <w:rPr>
                <w:rFonts w:ascii="仿宋_GB2312" w:hAnsi="仿宋_GB2312" w:cs="仿宋_GB2312" w:eastAsia="仿宋_GB2312"/>
                <w:sz w:val="20"/>
                <w:b/>
              </w:rPr>
              <w:t>2.谋划方向</w:t>
            </w:r>
          </w:p>
          <w:p>
            <w:pPr>
              <w:pStyle w:val="null3"/>
              <w:spacing w:before="105" w:after="105"/>
              <w:ind w:firstLine="220"/>
              <w:jc w:val="both"/>
            </w:pPr>
            <w:r>
              <w:rPr>
                <w:rFonts w:ascii="仿宋_GB2312" w:hAnsi="仿宋_GB2312" w:cs="仿宋_GB2312" w:eastAsia="仿宋_GB2312"/>
                <w:sz w:val="20"/>
              </w:rPr>
              <w:t>紧密围绕中央资金支持政策与城市发展短板，将项目谋划精准聚焦于城镇老旧小区改造建设（含城市危旧房、城市嵌入式公共服务设施等）、老旧街区、厂区改造建设（含历史文化街区、重点片区内近代优秀建筑、历史建筑等）、城市公共空间改造建设（含公共服务设施、市政综合体、</w:t>
            </w:r>
            <w:r>
              <w:rPr>
                <w:rFonts w:ascii="仿宋_GB2312" w:hAnsi="仿宋_GB2312" w:cs="仿宋_GB2312" w:eastAsia="仿宋_GB2312"/>
                <w:sz w:val="20"/>
              </w:rPr>
              <w:t>TOD、综合能源站等）、市政基础设施改造建设（含地下管线管网设施、市政道路等）、城棚改、城中村（未拆迁）市政配套基础设施改造建设（含市政道路、地下管线管网设施、嵌入式公共服务设施等）等五大重点领域，确保项目谋划精准高效。</w:t>
            </w:r>
          </w:p>
          <w:p>
            <w:pPr>
              <w:pStyle w:val="null3"/>
              <w:spacing w:before="105" w:after="105"/>
              <w:ind w:firstLine="221"/>
              <w:jc w:val="both"/>
            </w:pPr>
            <w:r>
              <w:rPr>
                <w:rFonts w:ascii="仿宋_GB2312" w:hAnsi="仿宋_GB2312" w:cs="仿宋_GB2312" w:eastAsia="仿宋_GB2312"/>
                <w:sz w:val="20"/>
                <w:b/>
              </w:rPr>
              <w:t>（一）城镇老旧小区改造建设（含城市危旧房、城市嵌入式公共服务设施等）</w:t>
            </w:r>
          </w:p>
          <w:p>
            <w:pPr>
              <w:pStyle w:val="null3"/>
              <w:spacing w:before="105" w:after="105"/>
              <w:ind w:firstLine="220"/>
              <w:jc w:val="both"/>
            </w:pPr>
            <w:r>
              <w:rPr>
                <w:rFonts w:ascii="仿宋_GB2312" w:hAnsi="仿宋_GB2312" w:cs="仿宋_GB2312" w:eastAsia="仿宋_GB2312"/>
                <w:sz w:val="20"/>
              </w:rPr>
              <w:t>以城镇老旧小区为基本单元，以改造建设完整社区为目标，根据全市城镇老旧小区清单、危旧房清单，结合庭院管网安全隐患、人民群众更新改造意愿、城市嵌入式公共服务设施建设改造，谋划一批安全宜居、服务便利、设施完备的好小区、好社区。</w:t>
            </w:r>
          </w:p>
          <w:p>
            <w:pPr>
              <w:pStyle w:val="null3"/>
              <w:spacing w:before="105" w:after="105"/>
              <w:ind w:firstLine="221"/>
              <w:jc w:val="both"/>
            </w:pPr>
            <w:r>
              <w:rPr>
                <w:rFonts w:ascii="仿宋_GB2312" w:hAnsi="仿宋_GB2312" w:cs="仿宋_GB2312" w:eastAsia="仿宋_GB2312"/>
                <w:sz w:val="20"/>
                <w:b/>
              </w:rPr>
              <w:t>（二）老旧街区、厂区改造建设（含历史文化街区、重点片区内近代优秀建筑、历史建筑等）</w:t>
            </w:r>
          </w:p>
          <w:p>
            <w:pPr>
              <w:pStyle w:val="null3"/>
              <w:spacing w:before="105" w:after="105"/>
              <w:ind w:firstLine="220"/>
              <w:jc w:val="both"/>
            </w:pPr>
            <w:r>
              <w:rPr>
                <w:rFonts w:ascii="仿宋_GB2312" w:hAnsi="仿宋_GB2312" w:cs="仿宋_GB2312" w:eastAsia="仿宋_GB2312"/>
                <w:sz w:val="20"/>
              </w:rPr>
              <w:t>以老旧街区、老旧厂区为基本单元，以改造建设综合交通、历史文化、工业遗产、现代商业和好房子、好社区融为一体的特色街区、活力厂区为目标，根据各级历史文化街区、各级文保单位、历史建筑名录清单，结合老旧街区、老旧厂区存量建筑、产权单位更新改造意愿，围绕以用促保、以盘活存量带动提质增效改造思路，谋划一批老旧街区、厂区改造建设项目。</w:t>
            </w:r>
          </w:p>
          <w:p>
            <w:pPr>
              <w:pStyle w:val="null3"/>
              <w:spacing w:before="105" w:after="105"/>
              <w:ind w:firstLine="221"/>
              <w:jc w:val="both"/>
            </w:pPr>
            <w:r>
              <w:rPr>
                <w:rFonts w:ascii="仿宋_GB2312" w:hAnsi="仿宋_GB2312" w:cs="仿宋_GB2312" w:eastAsia="仿宋_GB2312"/>
                <w:sz w:val="20"/>
                <w:b/>
              </w:rPr>
              <w:t>（三）城市公共空间改造建设（含公共服务设施、市政综合体、</w:t>
            </w:r>
            <w:r>
              <w:rPr>
                <w:rFonts w:ascii="仿宋_GB2312" w:hAnsi="仿宋_GB2312" w:cs="仿宋_GB2312" w:eastAsia="仿宋_GB2312"/>
                <w:sz w:val="20"/>
                <w:b/>
              </w:rPr>
              <w:t>TOD、综合能源站等）</w:t>
            </w:r>
          </w:p>
          <w:p>
            <w:pPr>
              <w:pStyle w:val="null3"/>
              <w:spacing w:before="105" w:after="105"/>
              <w:ind w:firstLine="220"/>
              <w:jc w:val="both"/>
            </w:pPr>
            <w:r>
              <w:rPr>
                <w:rFonts w:ascii="仿宋_GB2312" w:hAnsi="仿宋_GB2312" w:cs="仿宋_GB2312" w:eastAsia="仿宋_GB2312"/>
                <w:sz w:val="20"/>
              </w:rPr>
              <w:t>以老旧交通枢纽、轨道交通场站与周边地区为基本单元，以及市政综合体、</w:t>
            </w:r>
            <w:r>
              <w:rPr>
                <w:rFonts w:ascii="仿宋_GB2312" w:hAnsi="仿宋_GB2312" w:cs="仿宋_GB2312" w:eastAsia="仿宋_GB2312"/>
                <w:sz w:val="20"/>
              </w:rPr>
              <w:t>TOD、综合能源站等城市基础设施、公共服务设施等要素，将消除隐患、优化功能、提高效能、惠及民生作为项目谋划方向，谋划一批功能提升、绿色低碳、智慧活力的城市公共空间改造建设项目。</w:t>
            </w:r>
          </w:p>
          <w:p>
            <w:pPr>
              <w:pStyle w:val="null3"/>
              <w:spacing w:before="105" w:after="105"/>
              <w:ind w:firstLine="221"/>
              <w:jc w:val="both"/>
            </w:pPr>
            <w:r>
              <w:rPr>
                <w:rFonts w:ascii="仿宋_GB2312" w:hAnsi="仿宋_GB2312" w:cs="仿宋_GB2312" w:eastAsia="仿宋_GB2312"/>
                <w:sz w:val="20"/>
                <w:b/>
              </w:rPr>
              <w:t>（四）地下管线管网设施改造建设（含地下管线管网设施、市政道路等）</w:t>
            </w:r>
          </w:p>
          <w:p>
            <w:pPr>
              <w:pStyle w:val="null3"/>
              <w:spacing w:before="105" w:after="105"/>
              <w:ind w:firstLine="220"/>
              <w:jc w:val="both"/>
            </w:pPr>
            <w:r>
              <w:rPr>
                <w:rFonts w:ascii="仿宋_GB2312" w:hAnsi="仿宋_GB2312" w:cs="仿宋_GB2312" w:eastAsia="仿宋_GB2312"/>
                <w:sz w:val="20"/>
              </w:rPr>
              <w:t>依据各类管网普查排查及风险评估成果、管网及设施老化更新计划，结合《</w:t>
            </w: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城市地下管网及设施安全能力提升行动规划建设实施方案》 《西安市城市地下管网管廊及设施建设改造实施方案》，以道路、管线管廊一体谋划、一体实施为原则，谋划一批市政基础设施改造建设项目。</w:t>
            </w:r>
          </w:p>
          <w:p>
            <w:pPr>
              <w:pStyle w:val="null3"/>
              <w:spacing w:before="105" w:after="105"/>
              <w:jc w:val="both"/>
            </w:pPr>
            <w:r>
              <w:rPr>
                <w:rFonts w:ascii="仿宋_GB2312" w:hAnsi="仿宋_GB2312" w:cs="仿宋_GB2312" w:eastAsia="仿宋_GB2312"/>
                <w:sz w:val="20"/>
                <w:b/>
              </w:rPr>
              <w:t>（五）城棚改、城中村（未拆迁）市政配套基础设施改造建设（含市政道路、地下管线管网设施、嵌入式公共服务设施等）</w:t>
            </w:r>
          </w:p>
          <w:p>
            <w:pPr>
              <w:pStyle w:val="null3"/>
              <w:spacing w:before="105" w:after="105"/>
              <w:ind w:firstLine="220"/>
              <w:jc w:val="both"/>
            </w:pPr>
            <w:r>
              <w:rPr>
                <w:rFonts w:ascii="仿宋_GB2312" w:hAnsi="仿宋_GB2312" w:cs="仿宋_GB2312" w:eastAsia="仿宋_GB2312"/>
                <w:sz w:val="20"/>
              </w:rPr>
              <w:t>结合市政道路建设、地下管线管网设施和嵌入式公共服务设施等统筹推进，重点谋划城棚改项目中配套不到位的项目，以及未拆迁城中村的安全隐患整治、环境提升项目。</w:t>
            </w:r>
          </w:p>
          <w:p>
            <w:pPr>
              <w:pStyle w:val="null3"/>
              <w:spacing w:before="105" w:after="105"/>
              <w:ind w:firstLine="221"/>
              <w:jc w:val="both"/>
            </w:pPr>
            <w:r>
              <w:rPr>
                <w:rFonts w:ascii="仿宋_GB2312" w:hAnsi="仿宋_GB2312" w:cs="仿宋_GB2312" w:eastAsia="仿宋_GB2312"/>
                <w:sz w:val="20"/>
                <w:b/>
              </w:rPr>
              <w:t>3. 成果要求</w:t>
            </w:r>
          </w:p>
          <w:p>
            <w:pPr>
              <w:pStyle w:val="null3"/>
              <w:spacing w:before="105" w:after="105"/>
              <w:ind w:firstLine="220"/>
              <w:jc w:val="both"/>
            </w:pPr>
            <w:r>
              <w:rPr>
                <w:rFonts w:ascii="仿宋_GB2312" w:hAnsi="仿宋_GB2312" w:cs="仿宋_GB2312" w:eastAsia="仿宋_GB2312"/>
                <w:sz w:val="20"/>
              </w:rPr>
              <w:t>（</w:t>
            </w:r>
            <w:r>
              <w:rPr>
                <w:rFonts w:ascii="仿宋_GB2312" w:hAnsi="仿宋_GB2312" w:cs="仿宋_GB2312" w:eastAsia="仿宋_GB2312"/>
                <w:sz w:val="20"/>
              </w:rPr>
              <w:t>1）提交各更新片区的建设实施方案（含</w:t>
            </w:r>
            <w:r>
              <w:rPr>
                <w:rFonts w:ascii="仿宋_GB2312" w:hAnsi="仿宋_GB2312" w:cs="仿宋_GB2312" w:eastAsia="仿宋_GB2312"/>
                <w:sz w:val="20"/>
              </w:rPr>
              <w:t>“</w:t>
            </w:r>
            <w:r>
              <w:rPr>
                <w:rFonts w:ascii="仿宋_GB2312" w:hAnsi="仿宋_GB2312" w:cs="仿宋_GB2312" w:eastAsia="仿宋_GB2312"/>
                <w:sz w:val="20"/>
              </w:rPr>
              <w:t>一图三表</w:t>
            </w:r>
            <w:r>
              <w:rPr>
                <w:rFonts w:ascii="仿宋_GB2312" w:hAnsi="仿宋_GB2312" w:cs="仿宋_GB2312" w:eastAsia="仿宋_GB2312"/>
                <w:sz w:val="20"/>
              </w:rPr>
              <w:t>”</w:t>
            </w:r>
            <w:r>
              <w:rPr>
                <w:rFonts w:ascii="仿宋_GB2312" w:hAnsi="仿宋_GB2312" w:cs="仿宋_GB2312" w:eastAsia="仿宋_GB2312"/>
                <w:sz w:val="20"/>
              </w:rPr>
              <w:t>）文本。</w:t>
            </w:r>
          </w:p>
          <w:p>
            <w:pPr>
              <w:pStyle w:val="null3"/>
              <w:spacing w:before="105" w:after="105"/>
              <w:ind w:firstLine="220"/>
              <w:jc w:val="both"/>
            </w:pPr>
            <w:r>
              <w:rPr>
                <w:rFonts w:ascii="仿宋_GB2312" w:hAnsi="仿宋_GB2312" w:cs="仿宋_GB2312" w:eastAsia="仿宋_GB2312"/>
                <w:sz w:val="20"/>
              </w:rPr>
              <w:t>（</w:t>
            </w:r>
            <w:r>
              <w:rPr>
                <w:rFonts w:ascii="仿宋_GB2312" w:hAnsi="仿宋_GB2312" w:cs="仿宋_GB2312" w:eastAsia="仿宋_GB2312"/>
                <w:sz w:val="20"/>
              </w:rPr>
              <w:t>2）提交各更新片区的可行性研究报告。</w:t>
            </w:r>
          </w:p>
          <w:p>
            <w:pPr>
              <w:pStyle w:val="null3"/>
              <w:spacing w:before="105" w:after="105"/>
              <w:ind w:firstLine="220"/>
              <w:jc w:val="both"/>
            </w:pPr>
            <w:r>
              <w:rPr>
                <w:rFonts w:ascii="仿宋_GB2312" w:hAnsi="仿宋_GB2312" w:cs="仿宋_GB2312" w:eastAsia="仿宋_GB2312"/>
                <w:sz w:val="20"/>
              </w:rPr>
              <w:t>（</w:t>
            </w:r>
            <w:r>
              <w:rPr>
                <w:rFonts w:ascii="仿宋_GB2312" w:hAnsi="仿宋_GB2312" w:cs="仿宋_GB2312" w:eastAsia="仿宋_GB2312"/>
                <w:sz w:val="20"/>
              </w:rPr>
              <w:t>3）提交各更新片区的初步设计方案文本及概算成果。</w:t>
            </w:r>
          </w:p>
          <w:p>
            <w:pPr>
              <w:pStyle w:val="null3"/>
              <w:spacing w:before="105" w:after="105"/>
              <w:ind w:firstLine="220"/>
              <w:jc w:val="both"/>
            </w:pPr>
            <w:r>
              <w:rPr>
                <w:rFonts w:ascii="仿宋_GB2312" w:hAnsi="仿宋_GB2312" w:cs="仿宋_GB2312" w:eastAsia="仿宋_GB2312"/>
                <w:sz w:val="20"/>
              </w:rPr>
              <w:t>谋划的更新片区数量不少于</w:t>
            </w:r>
            <w:r>
              <w:rPr>
                <w:rFonts w:ascii="仿宋_GB2312" w:hAnsi="仿宋_GB2312" w:cs="仿宋_GB2312" w:eastAsia="仿宋_GB2312"/>
                <w:sz w:val="20"/>
              </w:rPr>
              <w:t>50个。</w:t>
            </w:r>
            <w:r>
              <w:rPr>
                <w:rFonts w:ascii="仿宋_GB2312" w:hAnsi="仿宋_GB2312" w:cs="仿宋_GB2312" w:eastAsia="仿宋_GB2312"/>
                <w:sz w:val="20"/>
              </w:rPr>
              <w:t>“</w:t>
            </w:r>
            <w:r>
              <w:rPr>
                <w:rFonts w:ascii="仿宋_GB2312" w:hAnsi="仿宋_GB2312" w:cs="仿宋_GB2312" w:eastAsia="仿宋_GB2312"/>
                <w:sz w:val="20"/>
              </w:rPr>
              <w:t>一图三表</w:t>
            </w:r>
            <w:r>
              <w:rPr>
                <w:rFonts w:ascii="仿宋_GB2312" w:hAnsi="仿宋_GB2312" w:cs="仿宋_GB2312" w:eastAsia="仿宋_GB2312"/>
                <w:sz w:val="20"/>
              </w:rPr>
              <w:t>”</w:t>
            </w:r>
            <w:r>
              <w:rPr>
                <w:rFonts w:ascii="仿宋_GB2312" w:hAnsi="仿宋_GB2312" w:cs="仿宋_GB2312" w:eastAsia="仿宋_GB2312"/>
                <w:sz w:val="20"/>
              </w:rPr>
              <w:t>中，</w:t>
            </w:r>
            <w:r>
              <w:rPr>
                <w:rFonts w:ascii="仿宋_GB2312" w:hAnsi="仿宋_GB2312" w:cs="仿宋_GB2312" w:eastAsia="仿宋_GB2312"/>
                <w:sz w:val="20"/>
              </w:rPr>
              <w:t>“</w:t>
            </w:r>
            <w:r>
              <w:rPr>
                <w:rFonts w:ascii="仿宋_GB2312" w:hAnsi="仿宋_GB2312" w:cs="仿宋_GB2312" w:eastAsia="仿宋_GB2312"/>
                <w:sz w:val="20"/>
              </w:rPr>
              <w:t>一图</w:t>
            </w:r>
            <w:r>
              <w:rPr>
                <w:rFonts w:ascii="仿宋_GB2312" w:hAnsi="仿宋_GB2312" w:cs="仿宋_GB2312" w:eastAsia="仿宋_GB2312"/>
                <w:sz w:val="20"/>
              </w:rPr>
              <w:t>”</w:t>
            </w:r>
            <w:r>
              <w:rPr>
                <w:rFonts w:ascii="仿宋_GB2312" w:hAnsi="仿宋_GB2312" w:cs="仿宋_GB2312" w:eastAsia="仿宋_GB2312"/>
                <w:sz w:val="20"/>
              </w:rPr>
              <w:t>是方案设计图，内容应包含总平面布置、功能布局、方案效果。</w:t>
            </w:r>
            <w:r>
              <w:rPr>
                <w:rFonts w:ascii="仿宋_GB2312" w:hAnsi="仿宋_GB2312" w:cs="仿宋_GB2312" w:eastAsia="仿宋_GB2312"/>
                <w:sz w:val="20"/>
              </w:rPr>
              <w:t>“</w:t>
            </w:r>
            <w:r>
              <w:rPr>
                <w:rFonts w:ascii="仿宋_GB2312" w:hAnsi="仿宋_GB2312" w:cs="仿宋_GB2312" w:eastAsia="仿宋_GB2312"/>
                <w:sz w:val="20"/>
              </w:rPr>
              <w:t>三表</w:t>
            </w:r>
            <w:r>
              <w:rPr>
                <w:rFonts w:ascii="仿宋_GB2312" w:hAnsi="仿宋_GB2312" w:cs="仿宋_GB2312" w:eastAsia="仿宋_GB2312"/>
                <w:sz w:val="20"/>
              </w:rPr>
              <w:t>”</w:t>
            </w:r>
            <w:r>
              <w:rPr>
                <w:rFonts w:ascii="仿宋_GB2312" w:hAnsi="仿宋_GB2312" w:cs="仿宋_GB2312" w:eastAsia="仿宋_GB2312"/>
                <w:sz w:val="20"/>
              </w:rPr>
              <w:t>是功能需求一览表，内容应包含项目具体功能、建设规模、说明及相关依据。设计范围一览表，根据工程类型，分项列出各项工程、设计范围及设计说明。投资估算一览表，内容应包含项目总投资估算及明细。</w:t>
            </w:r>
          </w:p>
          <w:p>
            <w:pPr>
              <w:pStyle w:val="null3"/>
              <w:spacing w:before="105" w:after="105"/>
              <w:ind w:firstLine="220"/>
              <w:jc w:val="both"/>
            </w:pPr>
            <w:r>
              <w:rPr>
                <w:rFonts w:ascii="仿宋_GB2312" w:hAnsi="仿宋_GB2312" w:cs="仿宋_GB2312" w:eastAsia="仿宋_GB2312"/>
                <w:sz w:val="20"/>
              </w:rPr>
              <w:t>（</w:t>
            </w:r>
            <w:r>
              <w:rPr>
                <w:rFonts w:ascii="仿宋_GB2312" w:hAnsi="仿宋_GB2312" w:cs="仿宋_GB2312" w:eastAsia="仿宋_GB2312"/>
                <w:sz w:val="20"/>
              </w:rPr>
              <w:t>4）项目实施阶段技术服务要求</w:t>
            </w:r>
          </w:p>
          <w:p>
            <w:pPr>
              <w:pStyle w:val="null3"/>
              <w:spacing w:before="105" w:after="105"/>
              <w:ind w:firstLine="221"/>
              <w:jc w:val="both"/>
            </w:pPr>
            <w:r>
              <w:rPr>
                <w:rFonts w:ascii="仿宋_GB2312" w:hAnsi="仿宋_GB2312" w:cs="仿宋_GB2312" w:eastAsia="仿宋_GB2312"/>
                <w:sz w:val="20"/>
              </w:rPr>
              <w:t>除完成各更新片区建设实施方案、可行性研究报告、初步设计方案及概算编制外，还须提供统筹更新片区实施过程中的技术支持工作，开展项目实施过程中的咨询服务。</w:t>
            </w:r>
          </w:p>
          <w:p>
            <w:pPr>
              <w:pStyle w:val="null3"/>
              <w:spacing w:before="105" w:after="105"/>
              <w:ind w:firstLine="221"/>
              <w:jc w:val="both"/>
            </w:pPr>
            <w:r>
              <w:rPr>
                <w:rFonts w:ascii="仿宋_GB2312" w:hAnsi="仿宋_GB2312" w:cs="仿宋_GB2312" w:eastAsia="仿宋_GB2312"/>
                <w:sz w:val="20"/>
              </w:rPr>
              <w:t>成果提交形式包括：纸质版和电子版。纸质版需装订成册，一式六份，加盖编制单位公章</w:t>
            </w:r>
            <w:r>
              <w:rPr>
                <w:rFonts w:ascii="仿宋_GB2312" w:hAnsi="仿宋_GB2312" w:cs="仿宋_GB2312" w:eastAsia="仿宋_GB2312"/>
                <w:sz w:val="20"/>
              </w:rPr>
              <w:t>/技术成果章；电子版需存储于U盘或光盘（不少于2份），同时发送至指定邮箱，电子版格式要求：文档类采用Word、PDF格式，图纸类采用CAD、GIS、JPG格式（高清），数据类采用Excel格式，确保可编辑、可查阅。</w:t>
            </w:r>
          </w:p>
          <w:p>
            <w:pPr>
              <w:pStyle w:val="null3"/>
              <w:spacing w:before="105" w:after="105"/>
              <w:ind w:firstLine="221"/>
              <w:jc w:val="both"/>
            </w:pPr>
            <w:r>
              <w:rPr>
                <w:rFonts w:ascii="仿宋_GB2312" w:hAnsi="仿宋_GB2312" w:cs="仿宋_GB2312" w:eastAsia="仿宋_GB2312"/>
                <w:sz w:val="20"/>
                <w:b/>
              </w:rPr>
              <w:t>4.人员要求</w:t>
            </w:r>
          </w:p>
          <w:p>
            <w:pPr>
              <w:pStyle w:val="null3"/>
              <w:spacing w:before="105" w:after="105"/>
              <w:ind w:firstLine="201"/>
              <w:jc w:val="both"/>
            </w:pPr>
            <w:r>
              <w:rPr>
                <w:rFonts w:ascii="仿宋_GB2312" w:hAnsi="仿宋_GB2312" w:cs="仿宋_GB2312" w:eastAsia="仿宋_GB2312"/>
                <w:sz w:val="20"/>
                <w:b/>
              </w:rPr>
              <w:t>（</w:t>
            </w:r>
            <w:r>
              <w:rPr>
                <w:rFonts w:ascii="仿宋_GB2312" w:hAnsi="仿宋_GB2312" w:cs="仿宋_GB2312" w:eastAsia="仿宋_GB2312"/>
                <w:sz w:val="20"/>
                <w:b/>
              </w:rPr>
              <w:t>1）投标人应为本项目组建专业的项目团队，确保全市更新片区实施方案、可行性研究报告、初步设计方案及概算成果的编制质量和进度。</w:t>
            </w:r>
          </w:p>
          <w:p>
            <w:pPr>
              <w:pStyle w:val="null3"/>
              <w:spacing w:before="105" w:after="105"/>
              <w:ind w:firstLine="201"/>
              <w:jc w:val="both"/>
            </w:pPr>
            <w:r>
              <w:rPr>
                <w:rFonts w:ascii="仿宋_GB2312" w:hAnsi="仿宋_GB2312" w:cs="仿宋_GB2312" w:eastAsia="仿宋_GB2312"/>
                <w:sz w:val="20"/>
                <w:b/>
              </w:rPr>
              <w:t>（</w:t>
            </w:r>
            <w:r>
              <w:rPr>
                <w:rFonts w:ascii="仿宋_GB2312" w:hAnsi="仿宋_GB2312" w:cs="仿宋_GB2312" w:eastAsia="仿宋_GB2312"/>
                <w:sz w:val="20"/>
                <w:b/>
              </w:rPr>
              <w:t>2）团队核心成员应至少包括：</w:t>
            </w:r>
          </w:p>
          <w:p>
            <w:pPr>
              <w:pStyle w:val="null3"/>
              <w:spacing w:before="105" w:after="105"/>
              <w:ind w:firstLine="201"/>
              <w:jc w:val="both"/>
            </w:pPr>
            <w:r>
              <w:rPr>
                <w:rFonts w:ascii="仿宋_GB2312" w:hAnsi="仿宋_GB2312" w:cs="仿宋_GB2312" w:eastAsia="仿宋_GB2312"/>
                <w:sz w:val="20"/>
                <w:b/>
              </w:rPr>
              <w:t>项目负责人</w:t>
            </w:r>
            <w:r>
              <w:rPr>
                <w:rFonts w:ascii="仿宋_GB2312" w:hAnsi="仿宋_GB2312" w:cs="仿宋_GB2312" w:eastAsia="仿宋_GB2312"/>
                <w:sz w:val="20"/>
                <w:b/>
              </w:rPr>
              <w:t>1人：须具备一级注册建筑师执业资格或相关专业高级及以上技术职称；</w:t>
            </w:r>
          </w:p>
          <w:p>
            <w:pPr>
              <w:pStyle w:val="null3"/>
              <w:spacing w:before="105" w:after="105"/>
              <w:ind w:firstLine="201"/>
              <w:jc w:val="both"/>
            </w:pPr>
            <w:r>
              <w:rPr>
                <w:rFonts w:ascii="仿宋_GB2312" w:hAnsi="仿宋_GB2312" w:cs="仿宋_GB2312" w:eastAsia="仿宋_GB2312"/>
                <w:sz w:val="20"/>
                <w:b/>
              </w:rPr>
              <w:t>专业技术人员若干：须具备建筑、结构、给排水、电气、暖通、市政、燃气、造价等相关专业中级及以上技术职称或相应执业资格，数量应满足项目实际需要；</w:t>
            </w:r>
          </w:p>
          <w:p>
            <w:pPr>
              <w:pStyle w:val="null3"/>
              <w:spacing w:before="105" w:after="105"/>
              <w:ind w:firstLine="201"/>
              <w:jc w:val="both"/>
            </w:pPr>
            <w:r>
              <w:rPr>
                <w:rFonts w:ascii="仿宋_GB2312" w:hAnsi="仿宋_GB2312" w:cs="仿宋_GB2312" w:eastAsia="仿宋_GB2312"/>
                <w:sz w:val="20"/>
                <w:b/>
              </w:rPr>
              <w:t>辅助人员若干：须具备相关专业初级及以上技术职称或相应从业经验。</w:t>
            </w:r>
          </w:p>
          <w:p>
            <w:pPr>
              <w:pStyle w:val="null3"/>
              <w:numPr>
                <w:ilvl w:val="0"/>
                <w:numId w:val="1"/>
              </w:numPr>
              <w:spacing w:before="105" w:after="105"/>
              <w:jc w:val="both"/>
            </w:pPr>
            <w:r>
              <w:rPr>
                <w:rFonts w:ascii="仿宋_GB2312" w:hAnsi="仿宋_GB2312" w:cs="仿宋_GB2312" w:eastAsia="仿宋_GB2312"/>
                <w:sz w:val="20"/>
                <w:b/>
              </w:rPr>
              <w:t>根据项目需要，投标人应指派足够数量的专业技术人员驻场服务，确保与采购人及各相关单位的沟通协调顺畅高效。</w:t>
            </w:r>
          </w:p>
          <w:p>
            <w:pPr>
              <w:pStyle w:val="null3"/>
              <w:spacing w:before="105" w:after="105"/>
              <w:ind w:left="195"/>
              <w:jc w:val="both"/>
            </w:pPr>
            <w:r>
              <w:rPr>
                <w:rFonts w:ascii="仿宋_GB2312" w:hAnsi="仿宋_GB2312" w:cs="仿宋_GB2312" w:eastAsia="仿宋_GB2312"/>
                <w:sz w:val="20"/>
                <w:b/>
              </w:rPr>
              <w:t>5.服务期限</w:t>
            </w:r>
          </w:p>
          <w:p>
            <w:pPr>
              <w:pStyle w:val="null3"/>
              <w:spacing w:before="105" w:after="105"/>
              <w:ind w:firstLine="400"/>
              <w:jc w:val="left"/>
            </w:pPr>
            <w:r>
              <w:rPr>
                <w:rFonts w:ascii="仿宋_GB2312" w:hAnsi="仿宋_GB2312" w:cs="仿宋_GB2312" w:eastAsia="仿宋_GB2312"/>
                <w:sz w:val="20"/>
              </w:rPr>
              <w:t>自政府采购合同签订生效之日起至本项目所有服务内容完成之日止。</w:t>
            </w:r>
          </w:p>
          <w:p>
            <w:pPr>
              <w:pStyle w:val="null3"/>
              <w:spacing w:before="105" w:after="105"/>
              <w:ind w:firstLine="402"/>
              <w:jc w:val="both"/>
            </w:pPr>
            <w:r>
              <w:rPr>
                <w:rFonts w:ascii="仿宋_GB2312" w:hAnsi="仿宋_GB2312" w:cs="仿宋_GB2312" w:eastAsia="仿宋_GB2312"/>
                <w:sz w:val="20"/>
                <w:b/>
              </w:rPr>
              <w:t>6.验收标准</w:t>
            </w:r>
          </w:p>
          <w:p>
            <w:pPr>
              <w:pStyle w:val="null3"/>
              <w:spacing w:before="105" w:after="105"/>
              <w:ind w:firstLine="400"/>
              <w:jc w:val="both"/>
            </w:pPr>
            <w:r>
              <w:rPr>
                <w:rFonts w:ascii="仿宋_GB2312" w:hAnsi="仿宋_GB2312" w:cs="仿宋_GB2312" w:eastAsia="仿宋_GB2312"/>
                <w:sz w:val="20"/>
              </w:rPr>
              <w:t>投标人提交的各片区成果文件（含实施方案、可行性研究报告、初步设计方案及概算）由采购人组织内部力量或专家进行分阶段或整体审核。审核内容包括但不限于：成果文件是否满足国家及地方规定的深度、是否符合立项审批要求、概算编制是否合理、是否具备上报资金申请的条件。成果文件经采购人书面确认，或通过相关主管部门审批（或取得批复文件）后，视为该阶段或整体验收合格。</w:t>
            </w:r>
          </w:p>
          <w:p>
            <w:pPr>
              <w:pStyle w:val="null3"/>
              <w:spacing w:before="105" w:after="105"/>
              <w:jc w:val="both"/>
            </w:pPr>
            <w:r>
              <w:rPr>
                <w:rFonts w:ascii="仿宋_GB2312" w:hAnsi="仿宋_GB2312" w:cs="仿宋_GB2312" w:eastAsia="仿宋_GB2312"/>
                <w:sz w:val="20"/>
                <w:b/>
              </w:rPr>
              <w:t>7.服务标准、依据</w:t>
            </w:r>
          </w:p>
          <w:p>
            <w:pPr>
              <w:pStyle w:val="null3"/>
              <w:spacing w:before="105" w:after="105"/>
              <w:jc w:val="both"/>
            </w:pPr>
            <w:r>
              <w:rPr>
                <w:rFonts w:ascii="仿宋_GB2312" w:hAnsi="仿宋_GB2312" w:cs="仿宋_GB2312" w:eastAsia="仿宋_GB2312"/>
                <w:sz w:val="20"/>
                <w:b/>
              </w:rPr>
              <w:t>（</w:t>
            </w:r>
            <w:r>
              <w:rPr>
                <w:rFonts w:ascii="仿宋_GB2312" w:hAnsi="仿宋_GB2312" w:cs="仿宋_GB2312" w:eastAsia="仿宋_GB2312"/>
                <w:sz w:val="20"/>
                <w:b/>
              </w:rPr>
              <w:t>1）法律法规依据</w:t>
            </w:r>
          </w:p>
          <w:p>
            <w:pPr>
              <w:pStyle w:val="null3"/>
              <w:spacing w:before="105" w:after="105"/>
              <w:jc w:val="both"/>
            </w:pPr>
            <w:r>
              <w:rPr>
                <w:rFonts w:ascii="仿宋_GB2312" w:hAnsi="仿宋_GB2312" w:cs="仿宋_GB2312" w:eastAsia="仿宋_GB2312"/>
                <w:sz w:val="20"/>
              </w:rPr>
              <w:t>《中华人民共和国建筑法》、《中华人民共和国城乡规划法》、《政府投资条例》、《建设工程勘察设计管理条例》、《西安市城市更新办法》、《西安市海绵城市建设管理条例》、国家、陕西省及西安市其他相关法律、法规和规章</w:t>
            </w:r>
          </w:p>
          <w:p>
            <w:pPr>
              <w:pStyle w:val="null3"/>
              <w:spacing w:before="105" w:after="105"/>
              <w:jc w:val="both"/>
            </w:pPr>
            <w:r>
              <w:rPr>
                <w:rFonts w:ascii="仿宋_GB2312" w:hAnsi="仿宋_GB2312" w:cs="仿宋_GB2312" w:eastAsia="仿宋_GB2312"/>
                <w:sz w:val="20"/>
                <w:b/>
              </w:rPr>
              <w:t>（</w:t>
            </w:r>
            <w:r>
              <w:rPr>
                <w:rFonts w:ascii="仿宋_GB2312" w:hAnsi="仿宋_GB2312" w:cs="仿宋_GB2312" w:eastAsia="仿宋_GB2312"/>
                <w:sz w:val="20"/>
                <w:b/>
              </w:rPr>
              <w:t>2）政策规划依据</w:t>
            </w:r>
          </w:p>
          <w:p>
            <w:pPr>
              <w:pStyle w:val="null3"/>
              <w:spacing w:before="105" w:after="105"/>
              <w:ind w:firstLine="200"/>
              <w:jc w:val="both"/>
            </w:pPr>
            <w:r>
              <w:rPr>
                <w:rFonts w:ascii="仿宋_GB2312" w:hAnsi="仿宋_GB2312" w:cs="仿宋_GB2312" w:eastAsia="仿宋_GB2312"/>
                <w:sz w:val="20"/>
              </w:rPr>
              <w:t>国家住房和城乡建设部、国家发展改革委关于城镇老旧小区改造、地下管网建设、城市基础设施更新及资金申报（中央预算内投资、超长期特别国债）的相关政策文件和管理规定；陕西省住房和城乡建设厅、陕西省发展改革委关于工程设计、项目审批及资金申报的相关指导意见；《中共西安市委关于制定国民经济和社会发展第十五个五年规划的建议》及相关专项规划；西安市国土空间总体规划、城市更新专项规划、控制性详细规划</w:t>
            </w:r>
          </w:p>
          <w:p>
            <w:pPr>
              <w:pStyle w:val="null3"/>
              <w:spacing w:before="105" w:after="105"/>
              <w:jc w:val="both"/>
            </w:pPr>
            <w:r>
              <w:rPr>
                <w:rFonts w:ascii="仿宋_GB2312" w:hAnsi="仿宋_GB2312" w:cs="仿宋_GB2312" w:eastAsia="仿宋_GB2312"/>
                <w:sz w:val="20"/>
                <w:b/>
              </w:rPr>
              <w:t>（</w:t>
            </w:r>
            <w:r>
              <w:rPr>
                <w:rFonts w:ascii="仿宋_GB2312" w:hAnsi="仿宋_GB2312" w:cs="仿宋_GB2312" w:eastAsia="仿宋_GB2312"/>
                <w:sz w:val="20"/>
                <w:b/>
              </w:rPr>
              <w:t>3）技术标准与规范</w:t>
            </w:r>
          </w:p>
          <w:p>
            <w:pPr>
              <w:pStyle w:val="null3"/>
              <w:spacing w:before="105" w:after="105"/>
              <w:jc w:val="both"/>
            </w:pPr>
            <w:r>
              <w:rPr>
                <w:rFonts w:ascii="仿宋_GB2312" w:hAnsi="仿宋_GB2312" w:cs="仿宋_GB2312" w:eastAsia="仿宋_GB2312"/>
                <w:sz w:val="20"/>
              </w:rPr>
              <w:t>《市政公用工程设计文件编制深度规定》（</w:t>
            </w:r>
            <w:r>
              <w:rPr>
                <w:rFonts w:ascii="仿宋_GB2312" w:hAnsi="仿宋_GB2312" w:cs="仿宋_GB2312" w:eastAsia="仿宋_GB2312"/>
                <w:sz w:val="20"/>
              </w:rPr>
              <w:t>2013年版及最新修订）；《建筑工程设计文件编制深度规定》（2016年版及最新修订）；《投资项目可行性研究指南》（或国家发布的最新可行性研究报告编制要求）；海绵城市建设技术指南》及西安市相关技术规定；各专业工程设计规范（包括但不限于建筑、结构、给排水、电气、暖通、道路、燃气、热力等）；国家及行业现行有效的工程技术标准、规范及规程；陕西省及西安市地方性工程设计技术规定。</w:t>
            </w:r>
          </w:p>
          <w:p>
            <w:pPr>
              <w:pStyle w:val="null3"/>
              <w:spacing w:before="105" w:after="105"/>
              <w:ind w:firstLine="200"/>
              <w:jc w:val="both"/>
            </w:pPr>
            <w:r>
              <w:rPr>
                <w:rFonts w:ascii="仿宋_GB2312" w:hAnsi="仿宋_GB2312" w:cs="仿宋_GB2312" w:eastAsia="仿宋_GB2312"/>
                <w:sz w:val="20"/>
              </w:rPr>
              <w:t>注：上述依据如有更新或调整，以国家及地方发布的最新版本为准。编制过程中应确保成果符合现行有效的政策导向、技术标准及项目申报审批要求。</w:t>
            </w:r>
          </w:p>
          <w:p>
            <w:pPr>
              <w:pStyle w:val="null3"/>
              <w:spacing w:before="105" w:after="105"/>
              <w:jc w:val="both"/>
            </w:pPr>
            <w:r>
              <w:rPr>
                <w:rFonts w:ascii="仿宋_GB2312" w:hAnsi="仿宋_GB2312" w:cs="仿宋_GB2312" w:eastAsia="仿宋_GB2312"/>
                <w:sz w:val="20"/>
                <w:b/>
              </w:rPr>
              <w:t>8.计费依据</w:t>
            </w:r>
          </w:p>
          <w:p>
            <w:pPr>
              <w:pStyle w:val="null3"/>
              <w:spacing w:before="105" w:after="105"/>
              <w:ind w:firstLine="400"/>
              <w:jc w:val="both"/>
            </w:pPr>
            <w:r>
              <w:rPr>
                <w:rFonts w:ascii="仿宋_GB2312" w:hAnsi="仿宋_GB2312" w:cs="仿宋_GB2312" w:eastAsia="仿宋_GB2312"/>
                <w:sz w:val="20"/>
              </w:rPr>
              <w:t>本包计费综合考虑了实施方案编制、可行性研究报告编制、初步设计方案编制三个阶段的费用，主要依据以下文件：</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1）建设实施方案计费依据</w:t>
            </w:r>
          </w:p>
          <w:p>
            <w:pPr>
              <w:pStyle w:val="null3"/>
              <w:spacing w:before="105" w:after="105"/>
              <w:jc w:val="both"/>
            </w:pPr>
            <w:r>
              <w:rPr>
                <w:rFonts w:ascii="仿宋_GB2312" w:hAnsi="仿宋_GB2312" w:cs="仿宋_GB2312" w:eastAsia="仿宋_GB2312"/>
                <w:sz w:val="20"/>
              </w:rPr>
              <w:t>《关于印发西安市加强国土空间详细规划、实施详细规划、宗地规划许可和</w:t>
            </w:r>
            <w:r>
              <w:rPr>
                <w:rFonts w:ascii="仿宋_GB2312" w:hAnsi="仿宋_GB2312" w:cs="仿宋_GB2312" w:eastAsia="仿宋_GB2312"/>
                <w:sz w:val="20"/>
              </w:rPr>
              <w:t>“</w:t>
            </w:r>
            <w:r>
              <w:rPr>
                <w:rFonts w:ascii="仿宋_GB2312" w:hAnsi="仿宋_GB2312" w:cs="仿宋_GB2312" w:eastAsia="仿宋_GB2312"/>
                <w:sz w:val="20"/>
              </w:rPr>
              <w:t>规土评让</w:t>
            </w:r>
            <w:r>
              <w:rPr>
                <w:rFonts w:ascii="仿宋_GB2312" w:hAnsi="仿宋_GB2312" w:cs="仿宋_GB2312" w:eastAsia="仿宋_GB2312"/>
                <w:sz w:val="20"/>
              </w:rPr>
              <w:t>”</w:t>
            </w:r>
            <w:r>
              <w:rPr>
                <w:rFonts w:ascii="仿宋_GB2312" w:hAnsi="仿宋_GB2312" w:cs="仿宋_GB2312" w:eastAsia="仿宋_GB2312"/>
                <w:sz w:val="20"/>
              </w:rPr>
              <w:t>一体化组织管理及相关规划计费指引（试行）的通知》（市资源发〔2025〕127号）</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2）可行性研究报告计费依据</w:t>
            </w:r>
          </w:p>
          <w:p>
            <w:pPr>
              <w:pStyle w:val="null3"/>
              <w:spacing w:before="105" w:after="105"/>
              <w:jc w:val="both"/>
            </w:pPr>
            <w:r>
              <w:rPr>
                <w:rFonts w:ascii="仿宋_GB2312" w:hAnsi="仿宋_GB2312" w:cs="仿宋_GB2312" w:eastAsia="仿宋_GB2312"/>
                <w:sz w:val="20"/>
              </w:rPr>
              <w:t>《国家计委关于印发建设项目前期工作咨询收费暂行规定的通知》（计价格〔</w:t>
            </w:r>
            <w:r>
              <w:rPr>
                <w:rFonts w:ascii="仿宋_GB2312" w:hAnsi="仿宋_GB2312" w:cs="仿宋_GB2312" w:eastAsia="仿宋_GB2312"/>
                <w:sz w:val="20"/>
              </w:rPr>
              <w:t>1999〕1283号）</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3）初步设计方案计费依据</w:t>
            </w:r>
          </w:p>
          <w:p>
            <w:pPr>
              <w:pStyle w:val="null3"/>
              <w:spacing w:before="105" w:after="105"/>
              <w:ind w:firstLine="400"/>
              <w:jc w:val="both"/>
            </w:pPr>
            <w:r>
              <w:rPr>
                <w:rFonts w:ascii="仿宋_GB2312" w:hAnsi="仿宋_GB2312" w:cs="仿宋_GB2312" w:eastAsia="仿宋_GB2312"/>
                <w:sz w:val="20"/>
              </w:rPr>
              <w:t>国家计委、建设部关于发布〈工程勘察设计收费管理规定〉的通知》（计价格〔</w:t>
            </w:r>
            <w:r>
              <w:rPr>
                <w:rFonts w:ascii="仿宋_GB2312" w:hAnsi="仿宋_GB2312" w:cs="仿宋_GB2312" w:eastAsia="仿宋_GB2312"/>
                <w:sz w:val="20"/>
              </w:rPr>
              <w:t>2002〕10号）</w:t>
            </w:r>
          </w:p>
          <w:p>
            <w:pPr>
              <w:pStyle w:val="null3"/>
              <w:spacing w:before="105" w:after="105"/>
              <w:ind w:firstLine="200"/>
              <w:jc w:val="both"/>
            </w:pPr>
            <w:r>
              <w:rPr>
                <w:rFonts w:ascii="仿宋_GB2312" w:hAnsi="仿宋_GB2312" w:cs="仿宋_GB2312" w:eastAsia="仿宋_GB2312"/>
                <w:sz w:val="20"/>
              </w:rPr>
              <w:t>以上计费依据均按照国家及地方现行有效的收费管理规定执行，并结合本项目实际工作内容、深度要求及市场行情综合确定。</w:t>
            </w:r>
          </w:p>
          <w:p>
            <w:pPr>
              <w:pStyle w:val="null3"/>
              <w:spacing w:before="105" w:after="105"/>
              <w:jc w:val="both"/>
            </w:pPr>
            <w:r>
              <w:rPr>
                <w:rFonts w:ascii="仿宋_GB2312" w:hAnsi="仿宋_GB2312" w:cs="仿宋_GB2312" w:eastAsia="仿宋_GB2312"/>
                <w:sz w:val="20"/>
                <w:b/>
              </w:rPr>
              <w:t>9.付款方式</w:t>
            </w:r>
          </w:p>
          <w:p>
            <w:pPr>
              <w:pStyle w:val="null3"/>
              <w:spacing w:before="105" w:after="105"/>
              <w:jc w:val="both"/>
            </w:pPr>
            <w:r>
              <w:rPr>
                <w:rFonts w:ascii="仿宋_GB2312" w:hAnsi="仿宋_GB2312" w:cs="仿宋_GB2312" w:eastAsia="仿宋_GB2312"/>
                <w:sz w:val="20"/>
              </w:rPr>
              <w:t>1. 合同签订生效且乙方提交项目总体工作方案后15个工作日内，甲方向乙方支付合同总金额的30%作为预付款；</w:t>
            </w:r>
          </w:p>
          <w:p>
            <w:pPr>
              <w:pStyle w:val="null3"/>
              <w:spacing w:before="105" w:after="105"/>
              <w:jc w:val="both"/>
            </w:pPr>
            <w:r>
              <w:rPr>
                <w:rFonts w:ascii="仿宋_GB2312" w:hAnsi="仿宋_GB2312" w:cs="仿宋_GB2312" w:eastAsia="仿宋_GB2312"/>
                <w:sz w:val="20"/>
              </w:rPr>
              <w:t>2. 乙方完成所有片区初步设计方案及概算成果，并配合完成资金申报工作后15个工作日内，甲方向乙方支付合同总金额的40%</w:t>
            </w:r>
          </w:p>
          <w:p>
            <w:pPr>
              <w:pStyle w:val="null3"/>
              <w:spacing w:before="105" w:after="105"/>
              <w:jc w:val="both"/>
            </w:pPr>
            <w:r>
              <w:rPr>
                <w:rFonts w:ascii="仿宋_GB2312" w:hAnsi="仿宋_GB2312" w:cs="仿宋_GB2312" w:eastAsia="仿宋_GB2312"/>
                <w:sz w:val="20"/>
              </w:rPr>
              <w:t>3.乙方按合同约定提供项目实施阶段的技术支持与咨询服务，且项目进入施工实施阶段后，剩余30%依据项目施工进度支付，每个片区施工开始后支付该片区费用（此处片区费用为剩余待支付合同额/总片区数）。</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4）甲方向乙方付款前，乙方向甲方出具相应足额发票；</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5）如甲方因财政资金未拨付而未按时向乙方付款，视财政资金到位情况，进行结算。</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 xml:space="preserve"> </w:t>
            </w:r>
            <w:r>
              <w:rPr>
                <w:rFonts w:ascii="仿宋_GB2312" w:hAnsi="仿宋_GB2312" w:cs="仿宋_GB2312" w:eastAsia="仿宋_GB2312"/>
                <w:sz w:val="20"/>
              </w:rPr>
              <w:t>若乙方为联合体时，甲方按乙方提供的联合体协议约定的付款比例、支付对象进行支付。</w:t>
            </w:r>
          </w:p>
          <w:p>
            <w:pPr>
              <w:pStyle w:val="null3"/>
              <w:spacing w:before="105" w:after="105"/>
              <w:jc w:val="left"/>
            </w:pPr>
            <w:r>
              <w:rPr>
                <w:rFonts w:ascii="仿宋_GB2312" w:hAnsi="仿宋_GB2312" w:cs="仿宋_GB2312" w:eastAsia="仿宋_GB2312"/>
                <w:sz w:val="20"/>
                <w:b/>
              </w:rPr>
              <w:t>三、其他要求</w:t>
            </w:r>
          </w:p>
          <w:p>
            <w:pPr>
              <w:pStyle w:val="null3"/>
              <w:spacing w:before="105" w:after="105"/>
              <w:jc w:val="both"/>
            </w:pPr>
            <w:r>
              <w:rPr>
                <w:rFonts w:ascii="仿宋_GB2312" w:hAnsi="仿宋_GB2312" w:cs="仿宋_GB2312" w:eastAsia="仿宋_GB2312"/>
                <w:sz w:val="20"/>
              </w:rPr>
              <w:t>（一）、保密措施</w:t>
            </w:r>
          </w:p>
          <w:p>
            <w:pPr>
              <w:pStyle w:val="null3"/>
              <w:spacing w:before="105" w:after="105"/>
              <w:ind w:firstLine="400"/>
              <w:jc w:val="both"/>
            </w:pPr>
            <w:r>
              <w:rPr>
                <w:rFonts w:ascii="仿宋_GB2312" w:hAnsi="仿宋_GB2312" w:cs="仿宋_GB2312" w:eastAsia="仿宋_GB2312"/>
                <w:sz w:val="20"/>
              </w:rPr>
              <w:t>甲、乙双方应对其掌握或知悉的对方的秘密信息承担保密义务至对方公开之日止，未经对方书面同意或许可，不得将其用于本合同以外的项目，也不得向任何第三方泄露、提供或许可使用</w:t>
            </w:r>
            <w:r>
              <w:rPr>
                <w:rFonts w:ascii="仿宋_GB2312" w:hAnsi="仿宋_GB2312" w:cs="仿宋_GB2312" w:eastAsia="仿宋_GB2312"/>
                <w:sz w:val="20"/>
              </w:rPr>
              <w:t>;如一方违反保密约定，应依据本合同约定承担违约责任。双方的秘密信息范围如下:</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1）双方未公开的技术信息和经营信息，包括商业秘密、技术秘密、技术方案、技术图纸、专利技术与投标文件等，且无论上述信息储存在纸质文件、计算机软件或其他载体。</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2）双方与本项目相关的计算机软件、视听资料、视频资料，以及其他借助计算机储存、浏览、传递的电子信息资料。</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3）双方按照法律、法规规定或者合同约定使用并负有保密义务的其他第三方的商业秘密和其他信息。</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4）一方向另一方提出明确要求保密的其他事项</w:t>
            </w:r>
          </w:p>
          <w:p>
            <w:pPr>
              <w:pStyle w:val="null3"/>
              <w:spacing w:before="105" w:after="105"/>
              <w:jc w:val="both"/>
            </w:pPr>
            <w:r>
              <w:rPr>
                <w:rFonts w:ascii="仿宋_GB2312" w:hAnsi="仿宋_GB2312" w:cs="仿宋_GB2312" w:eastAsia="仿宋_GB2312"/>
                <w:sz w:val="20"/>
              </w:rPr>
              <w:t>（二）</w:t>
            </w:r>
            <w:r>
              <w:rPr>
                <w:rFonts w:ascii="仿宋_GB2312" w:hAnsi="仿宋_GB2312" w:cs="仿宋_GB2312" w:eastAsia="仿宋_GB2312"/>
                <w:sz w:val="20"/>
              </w:rPr>
              <w:t>不可抗力条款</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1）不可抗力是指因无法预见、无法避免且无法克服之原因发生的事项，包括但不限于地震、台风、海啸、瘟疫、洪水、重大疫情、政府行为、战争、恐怖袭击等客观情况。</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任何一方因不可抗力导致不能履行合同，则合同履行期可延长，其延长期与不可抗力影响期相同，并可根据实际需要书面变更合同。任何一方对于因不可抗力致使本合同不能履行或不能全部履行而给对方造成的任何损失不承担违约责任。</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3）如果发生不可抗力事件,则受影响的一方应及时通知对方,并出具证明文件。</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4）如果因不可抗力原因导致本合同终止，则任何一方均无需继续履行本合同义务，也无需为此向另一方承担任何责任，由双方协商进行费用结算和阶段成果提交。</w:t>
            </w:r>
          </w:p>
          <w:p>
            <w:pPr>
              <w:pStyle w:val="null3"/>
              <w:spacing w:before="105" w:after="105"/>
              <w:jc w:val="both"/>
            </w:pPr>
            <w:r>
              <w:rPr>
                <w:rFonts w:ascii="仿宋_GB2312" w:hAnsi="仿宋_GB2312" w:cs="仿宋_GB2312" w:eastAsia="仿宋_GB2312"/>
                <w:sz w:val="20"/>
              </w:rPr>
              <w:t>（三）违约责任</w:t>
            </w:r>
          </w:p>
          <w:p>
            <w:pPr>
              <w:pStyle w:val="null3"/>
              <w:spacing w:before="105" w:after="105"/>
              <w:jc w:val="both"/>
            </w:pPr>
            <w:r>
              <w:rPr>
                <w:rFonts w:ascii="仿宋_GB2312" w:hAnsi="仿宋_GB2312" w:cs="仿宋_GB2312" w:eastAsia="仿宋_GB2312"/>
                <w:sz w:val="20"/>
              </w:rPr>
              <w:t>1. 甲、乙任何一方不履行本合同义务或者履行本合同义务不符合约定的，应当承担继续履行、采取补救措施或者赔偿损失等违约责任。</w:t>
            </w:r>
          </w:p>
          <w:p>
            <w:pPr>
              <w:pStyle w:val="null3"/>
              <w:spacing w:before="105" w:after="105"/>
              <w:jc w:val="both"/>
            </w:pPr>
            <w:r>
              <w:rPr>
                <w:rFonts w:ascii="仿宋_GB2312" w:hAnsi="仿宋_GB2312" w:cs="仿宋_GB2312" w:eastAsia="仿宋_GB2312"/>
                <w:sz w:val="20"/>
              </w:rPr>
              <w:t>2. 乙方对设计资料及文件出现的遗漏或错误负责修改或补充。由于乙方错误造成甲方损失，乙方除负责采取补救措施外，应免收直接受损失部分的报酬。</w:t>
            </w:r>
          </w:p>
          <w:p>
            <w:pPr>
              <w:pStyle w:val="null3"/>
              <w:spacing w:before="105" w:after="105"/>
              <w:jc w:val="both"/>
            </w:pPr>
            <w:r>
              <w:rPr>
                <w:rFonts w:ascii="仿宋_GB2312" w:hAnsi="仿宋_GB2312" w:cs="仿宋_GB2312" w:eastAsia="仿宋_GB2312"/>
                <w:sz w:val="20"/>
              </w:rPr>
              <w:t>3. 若甲方要求乙方违反国家和地方法律法规及相关技术标准、规范、规定进行技术服务工作，乙方有权单方解除合同。</w:t>
            </w:r>
          </w:p>
          <w:p>
            <w:pPr>
              <w:pStyle w:val="null3"/>
              <w:spacing w:before="105" w:after="105"/>
              <w:jc w:val="both"/>
            </w:pPr>
            <w:r>
              <w:rPr>
                <w:rFonts w:ascii="仿宋_GB2312" w:hAnsi="仿宋_GB2312" w:cs="仿宋_GB2312" w:eastAsia="仿宋_GB2312"/>
                <w:sz w:val="20"/>
              </w:rPr>
              <w:t>4. 双方如未遵守上述保密约定的，违约方应按本合同报酬总额的百分之二向对方支付违约金;如因泄漏秘密信息给对方造成损失，还应赔偿对方的实际损失。</w:t>
            </w:r>
          </w:p>
          <w:p>
            <w:pPr>
              <w:pStyle w:val="null3"/>
              <w:spacing w:before="105" w:after="105"/>
              <w:jc w:val="left"/>
            </w:pPr>
            <w:r>
              <w:rPr>
                <w:rFonts w:ascii="仿宋_GB2312" w:hAnsi="仿宋_GB2312" w:cs="仿宋_GB2312" w:eastAsia="仿宋_GB2312"/>
                <w:sz w:val="20"/>
              </w:rPr>
              <w:t>（四）本项目评审环节按合同包序号依次进行评审，如投标人参与多个合同包的投标，但为确保服务质量，仅可中标</w:t>
            </w:r>
            <w:r>
              <w:rPr>
                <w:rFonts w:ascii="仿宋_GB2312" w:hAnsi="仿宋_GB2312" w:cs="仿宋_GB2312" w:eastAsia="仿宋_GB2312"/>
                <w:sz w:val="20"/>
              </w:rPr>
              <w:t xml:space="preserve"> 1 个合同包，后续合同包评审时不作为中标候选人推荐。</w:t>
            </w:r>
          </w:p>
          <w:p>
            <w:pPr>
              <w:pStyle w:val="null3"/>
              <w:jc w:val="left"/>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详见招标内容及要求。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详见招标内容及要求。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自政府采购合同签订生效之日起至本项目所有服务内容完成之日止。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自政府采购合同签订生效之日起至本项目所有服务内容完成之日止。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自合同签订之后，乙方提交项目总体工作方案</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乙方提交成果文件并通过甲方初步审核后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项目成果通过甲方审核合格后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合同签订生效且乙方提交项目总体工作方案后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乙方完成所有片区初步设计方案及概算成果，并配合完成资金申报并通过甲方审核后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乙方按合同约定提供项目实施阶段的技术支持与咨询服务，且项目进入施工实施阶段后，剩余40%依据项目施工进度支付，每个片区施工开始后支付该片区费用（此处片区费用为剩余待支付合同额/总片区数）</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本合同履行若发生争议，双方应协商解决，协商不成，向甲方所在地有管辖权的人民法院提起诉讼。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本合同履行若发生争议，双方应协商解决，协商不成，向甲方所在地有管辖权的人民法院提起诉讼。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投标函 投标文件封面 资格证明文件（包1）.docx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投标文件封面 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 具有良好的商业信誉和健全的财务会计制度。 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（三）投标人提供具有履行合同所必需的设备和专业技术能力的承诺； （四）具有依法缴纳税收的良好记录。 投标人提供投标文件递交截止时间前一年内任意一个月的税收缴费凭据；依法免税的应提供相关文件证明； （五）具有依法缴纳社会保障资金的良好记录。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资格证明文件-（包2）.docx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资格证明文件-（包2）.docx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资格证明文件-（包2）.docx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投标人须具备城乡规划编制甲级资质</w:t>
            </w:r>
          </w:p>
        </w:tc>
        <w:tc>
          <w:tcPr>
            <w:tcW w:type="dxa" w:w="1661"/>
          </w:tcPr>
          <w:p>
            <w:pPr>
              <w:pStyle w:val="null3"/>
            </w:pPr>
            <w:r>
              <w:rPr>
                <w:rFonts w:ascii="仿宋_GB2312" w:hAnsi="仿宋_GB2312" w:cs="仿宋_GB2312" w:eastAsia="仿宋_GB2312"/>
              </w:rPr>
              <w:t>投标文件封面 资格证明文件（包1）.docx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拟派项目负责人须具备注册城乡规划师执业资格</w:t>
            </w:r>
          </w:p>
        </w:tc>
        <w:tc>
          <w:tcPr>
            <w:tcW w:type="dxa" w:w="1661"/>
          </w:tcPr>
          <w:p>
            <w:pPr>
              <w:pStyle w:val="null3"/>
            </w:pPr>
            <w:r>
              <w:rPr>
                <w:rFonts w:ascii="仿宋_GB2312" w:hAnsi="仿宋_GB2312" w:cs="仿宋_GB2312" w:eastAsia="仿宋_GB2312"/>
              </w:rPr>
              <w:t>投标文件封面 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投标文件封面 资格证明文件（包1）.docx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本项目接受联合体投标。联合体投标的，应满足下列要求： ①联合体各方均应满足以上资格要求； ②联合体各方须签订联合体协议书，明确联合体牵头人和各方权利义务及职责分工，并将联合体协议书连同投标文件一并提交； ③联合体各方不得再以自己名义单独或参加其他联合体在本项目中投标。</w:t>
            </w:r>
          </w:p>
        </w:tc>
        <w:tc>
          <w:tcPr>
            <w:tcW w:type="dxa" w:w="1661"/>
          </w:tcPr>
          <w:p>
            <w:pPr>
              <w:pStyle w:val="null3"/>
            </w:pPr>
            <w:r>
              <w:rPr>
                <w:rFonts w:ascii="仿宋_GB2312" w:hAnsi="仿宋_GB2312" w:cs="仿宋_GB2312" w:eastAsia="仿宋_GB2312"/>
              </w:rPr>
              <w:t>资格证明文件-（包2）.docx 投标文件封面</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投标函 服务方案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开标一览表 服务内容及服务邀请应答表 投标函 服务方案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政府采购供应商拒绝政府采购领域商业贿赂承诺书.docx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投标函 服务方案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开标一览表 服务内容及服务邀请应答表 投标函 服务方案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政府采购供应商拒绝政府采购领域商业贿赂承诺书.docx 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项目背景与问题研判能力</w:t>
            </w:r>
          </w:p>
        </w:tc>
        <w:tc>
          <w:tcPr>
            <w:tcW w:type="dxa" w:w="2492"/>
          </w:tcPr>
          <w:p>
            <w:pPr>
              <w:pStyle w:val="null3"/>
            </w:pPr>
            <w:r>
              <w:rPr>
                <w:rFonts w:ascii="仿宋_GB2312" w:hAnsi="仿宋_GB2312" w:cs="仿宋_GB2312" w:eastAsia="仿宋_GB2312"/>
              </w:rPr>
              <w:t>对西安市城市更新工作基础、政策背景、现状问题的分析深度和准确性。包括：①西安市城市更新工作历程与成效分析；②当前项目谋划存在的“层层征集、零敲碎打”等问题剖析；③对市政府主要领导批示精神的领会深度。阐述准确、全面、深入、透彻得9分。评审内容每缺一项扣3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项目谋划总体思路与创新</w:t>
            </w:r>
          </w:p>
        </w:tc>
        <w:tc>
          <w:tcPr>
            <w:tcW w:type="dxa" w:w="2492"/>
          </w:tcPr>
          <w:p>
            <w:pPr>
              <w:pStyle w:val="null3"/>
            </w:pPr>
            <w:r>
              <w:rPr>
                <w:rFonts w:ascii="仿宋_GB2312" w:hAnsi="仿宋_GB2312" w:cs="仿宋_GB2312" w:eastAsia="仿宋_GB2312"/>
              </w:rPr>
              <w:t>项目谋划的总体思路、技术路线、创新方法的科学性和可行性。包括：①“实施主体+行政保障+技术支撑”工作模式的理解与应用；②推动“三个转变”（征集制向谋划制转变、分散式向整合式转变、属地组织向主体统筹转变）的具体思路；③项目谋划的技术创新方法。阐述准确、全面、深入、透彻得12分。评审内容每缺一项扣4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片区划定与技术评估能力</w:t>
            </w:r>
          </w:p>
        </w:tc>
        <w:tc>
          <w:tcPr>
            <w:tcW w:type="dxa" w:w="2492"/>
          </w:tcPr>
          <w:p>
            <w:pPr>
              <w:pStyle w:val="null3"/>
            </w:pPr>
            <w:r>
              <w:rPr>
                <w:rFonts w:ascii="仿宋_GB2312" w:hAnsi="仿宋_GB2312" w:cs="仿宋_GB2312" w:eastAsia="仿宋_GB2312"/>
              </w:rPr>
              <w:t>对城市更新项目谋划片区划定的技术方案。包括：①对单元详规一张图、“地面一张图”“地下一张网”、“城市体检报告”等基础数据的整合分析方法；②围绕“急难愁盼”、公共服务短板、安全韧性等维度的评估指标体系；③片区划定的科学性与合理性。方案完整、合理、可行得12分。评审内容每缺一项扣4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分类别项目谋划方案</w:t>
            </w:r>
          </w:p>
        </w:tc>
        <w:tc>
          <w:tcPr>
            <w:tcW w:type="dxa" w:w="2492"/>
          </w:tcPr>
          <w:p>
            <w:pPr>
              <w:pStyle w:val="null3"/>
            </w:pPr>
            <w:r>
              <w:rPr>
                <w:rFonts w:ascii="仿宋_GB2312" w:hAnsi="仿宋_GB2312" w:cs="仿宋_GB2312" w:eastAsia="仿宋_GB2312"/>
              </w:rPr>
              <w:t>对五大重点领域（城镇老旧小区、老旧街区厂区、城市公共空间、地下管线管网、城棚改城中村）的项目谋划方案。包括：①各领域现状底数摸排思路；②项目谋划的方向与重点；③形成“一张图”的技术方法。方案全面、深入、针对性强得9分。评审内容每缺一项扣3分。投标内容有瑕疵的，每出现一次扣0.5分，扣完为止。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实施主体分工与工作计划</w:t>
            </w:r>
          </w:p>
        </w:tc>
        <w:tc>
          <w:tcPr>
            <w:tcW w:type="dxa" w:w="2492"/>
          </w:tcPr>
          <w:p>
            <w:pPr>
              <w:pStyle w:val="null3"/>
            </w:pPr>
            <w:r>
              <w:rPr>
                <w:rFonts w:ascii="仿宋_GB2312" w:hAnsi="仿宋_GB2312" w:cs="仿宋_GB2312" w:eastAsia="仿宋_GB2312"/>
              </w:rPr>
              <w:t>对统筹谋划实施主体分工、年度工作计划制定的方案。包括：①根据各实施主体业务特点进行任务分工的合理性；②与2026年中央预算内投资计划申报进度的衔接性；③工作时间节点与成果要求的明确性。方案合理、可行、衔接紧密得6分。评审内容每缺一项扣2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内容包括①质量目标；②质量保障措施；③成果文件质量控制措施；以上内容专门针对本项目且阐述明细、全面、合理得12分。评审内容每缺一项扣4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项目清单审核与全过程咨询能力</w:t>
            </w:r>
          </w:p>
        </w:tc>
        <w:tc>
          <w:tcPr>
            <w:tcW w:type="dxa" w:w="2492"/>
          </w:tcPr>
          <w:p>
            <w:pPr>
              <w:pStyle w:val="null3"/>
            </w:pPr>
            <w:r>
              <w:rPr>
                <w:rFonts w:ascii="仿宋_GB2312" w:hAnsi="仿宋_GB2312" w:cs="仿宋_GB2312" w:eastAsia="仿宋_GB2312"/>
              </w:rPr>
              <w:t>对资金申报项目清单审核、全过程技术咨询服务的方案。包括：①项目清单审核的标准与流程；②全过程技术咨询服务的内容与方式；③与各实施主体的协同机制。方案完整、可操作性强得9分。评审内容每缺一项扣3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1.拟派项目团队人员配置：①项目负责人具备注册城乡规划师执业资格和相关专业高级及以上技术职称得3分；②拟派项目团队具有中级及以上职称的，每提供一人得0.5分，最高得3分 （注：提供证书复印件或扫描件，不提供不得分。同一人有多个职称证的以最高职称计分，不重复计分）。 2.项目团队配置①组织机构设置方案②团队的职能分工及职责划分方案。机构设置合理、团队人员职责划分明确、团队配置满足项目情况及需要，人员专业能力能有效保障项目服务质量，内容描述详细，架构清晰的得6分。评审内容每缺一项扣3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前述要求的服务内容均方案完整、可操作性强得3分，评审内容每缺一项扣1分。投标内容有瑕疵的，每出现一次扣0.5分，扣完为止。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提供投标人2021年1月至响应文件递交截止日类似项目业绩（以合同复印件为准），每提供一份业绩得3分，最高得6分。若提供虚假业绩，一经发现，按无效投标处理。 类似项目指：城市更新专项规划、城市更新项目谋划、城市体检评估、或与城市更新相关的总体方案编制等技术咨询服务项目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价格分采用低价优先法计算，即满足招标文件要求且投标价格最低的投标报价为评标基准价，其他投标人的价格分按照下列公式计算： 价格分=（评标基准价/投标报价）×10 根据相关规定，对符合要求小型和微型企业、残疾人企业、监狱企业的价格给予10%的扣除，用扣除后的价格参与评审。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项目理解与整体策划能力</w:t>
            </w:r>
          </w:p>
        </w:tc>
        <w:tc>
          <w:tcPr>
            <w:tcW w:type="dxa" w:w="2492"/>
          </w:tcPr>
          <w:p>
            <w:pPr>
              <w:pStyle w:val="null3"/>
            </w:pPr>
            <w:r>
              <w:rPr>
                <w:rFonts w:ascii="仿宋_GB2312" w:hAnsi="仿宋_GB2312" w:cs="仿宋_GB2312" w:eastAsia="仿宋_GB2312"/>
              </w:rPr>
              <w:t>对全市更新片区项目整体策划的理解深度和统筹能力。包括：①对全市更新片区总体情况的把握；②五大领域（城镇老旧小区、老旧街区厂区、城市公共空间、地下管线管网、城棚改城中村）项目包的统筹思路；③“全链条、一体化”咨询服务理念的理解与应用。阐述准确、全面、深入、透彻得12分。评审内容每缺一项扣4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项目前期谋划与现场踏勘方案</w:t>
            </w:r>
          </w:p>
        </w:tc>
        <w:tc>
          <w:tcPr>
            <w:tcW w:type="dxa" w:w="2492"/>
          </w:tcPr>
          <w:p>
            <w:pPr>
              <w:pStyle w:val="null3"/>
            </w:pPr>
            <w:r>
              <w:rPr>
                <w:rFonts w:ascii="仿宋_GB2312" w:hAnsi="仿宋_GB2312" w:cs="仿宋_GB2312" w:eastAsia="仿宋_GB2312"/>
              </w:rPr>
              <w:t>项目前期资料收集、现场踏勘、与区县对接的工作方案。包括：①资料收集的范围与方法；②现场踏勘的组织与实施；③与区县及相关单位的对接机制。方案完整、可操作性强得12分。评审内容每缺一项扣4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实施方案编制能力</w:t>
            </w:r>
          </w:p>
        </w:tc>
        <w:tc>
          <w:tcPr>
            <w:tcW w:type="dxa" w:w="2492"/>
          </w:tcPr>
          <w:p>
            <w:pPr>
              <w:pStyle w:val="null3"/>
            </w:pPr>
            <w:r>
              <w:rPr>
                <w:rFonts w:ascii="仿宋_GB2312" w:hAnsi="仿宋_GB2312" w:cs="仿宋_GB2312" w:eastAsia="仿宋_GB2312"/>
              </w:rPr>
              <w:t>更新片区实施方案编制的技术方案。包括：①“一图三表”的具体内容与编制方法；②项目建设背景梳理与政策依据分析；③核心目标的设定与实现路径；④通过联评联审的保障措施。方案完整、逻辑清晰、符合规范得6分。评审内容每缺一项扣2分。投标内容有瑕疵的，每出现一次扣0.5分，扣完为止。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可行性研究报告编制能力</w:t>
            </w:r>
          </w:p>
        </w:tc>
        <w:tc>
          <w:tcPr>
            <w:tcW w:type="dxa" w:w="2492"/>
          </w:tcPr>
          <w:p>
            <w:pPr>
              <w:pStyle w:val="null3"/>
            </w:pPr>
            <w:r>
              <w:rPr>
                <w:rFonts w:ascii="仿宋_GB2312" w:hAnsi="仿宋_GB2312" w:cs="仿宋_GB2312" w:eastAsia="仿宋_GB2312"/>
              </w:rPr>
              <w:t>可行性研究报告编制的技术方案。包括：①“立项—论证—设计—概算”全流程编制框架的搭建；②项目必要性与初步可行性的论证方法；③满足立项审批、资金申请要求的合规性保障。方案完整、符合规范、可操作性强得6分。评审内容每缺一项扣2分。投标内容有瑕疵的，每出现一次扣0.5分，扣完为止。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初步设计方案与概算编制能力</w:t>
            </w:r>
          </w:p>
        </w:tc>
        <w:tc>
          <w:tcPr>
            <w:tcW w:type="dxa" w:w="2492"/>
          </w:tcPr>
          <w:p>
            <w:pPr>
              <w:pStyle w:val="null3"/>
            </w:pPr>
            <w:r>
              <w:rPr>
                <w:rFonts w:ascii="仿宋_GB2312" w:hAnsi="仿宋_GB2312" w:cs="仿宋_GB2312" w:eastAsia="仿宋_GB2312"/>
              </w:rPr>
              <w:t>初步设计方案及概算编制的技术方案。包括：①初步设计方案深度与内容要求；②概算编制的依据与方法；③各专业（建筑、结构、给排水、电气、暖通、市政、燃气等）的协同设计机制。方案完整、符合规范、专业协同性好得6分。评审内容每缺一项扣2分。投标内容有瑕疵的，每出现一次扣0.5分，扣完为止。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多项目统筹管理能力</w:t>
            </w:r>
          </w:p>
        </w:tc>
        <w:tc>
          <w:tcPr>
            <w:tcW w:type="dxa" w:w="2492"/>
          </w:tcPr>
          <w:p>
            <w:pPr>
              <w:pStyle w:val="null3"/>
            </w:pPr>
            <w:r>
              <w:rPr>
                <w:rFonts w:ascii="仿宋_GB2312" w:hAnsi="仿宋_GB2312" w:cs="仿宋_GB2312" w:eastAsia="仿宋_GB2312"/>
              </w:rPr>
              <w:t>对不少于50个更新片区项目同时推进的统筹管理方案。包括：①多项目并行实施的组织架构；②各项目之间的协同与衔接机制；③项目进度、质量、成本的综合管控措施。方案科学合理、统筹能力强得9分。评审内容每缺一项扣3分。投标内容有瑕疵的，每出现一次扣0.5分，扣完为止。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项目入库与申报支持能力</w:t>
            </w:r>
          </w:p>
        </w:tc>
        <w:tc>
          <w:tcPr>
            <w:tcW w:type="dxa" w:w="2492"/>
          </w:tcPr>
          <w:p>
            <w:pPr>
              <w:pStyle w:val="null3"/>
            </w:pPr>
            <w:r>
              <w:rPr>
                <w:rFonts w:ascii="仿宋_GB2312" w:hAnsi="仿宋_GB2312" w:cs="仿宋_GB2312" w:eastAsia="仿宋_GB2312"/>
              </w:rPr>
              <w:t>完成申报项目国家重大建设项目库入库工作的技术方案。包括：①入库资料的准备要求；②入库流程与时间节点安排；③与相关部门的对接协调机制。方案完整、可操作性强得9分。评审内容每缺一项扣3分。投标内容有瑕疵的，每出现一次扣0.5分，扣完为止。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实施进度与质量保障措施</w:t>
            </w:r>
          </w:p>
        </w:tc>
        <w:tc>
          <w:tcPr>
            <w:tcW w:type="dxa" w:w="2492"/>
          </w:tcPr>
          <w:p>
            <w:pPr>
              <w:pStyle w:val="null3"/>
            </w:pPr>
            <w:r>
              <w:rPr>
                <w:rFonts w:ascii="仿宋_GB2312" w:hAnsi="仿宋_GB2312" w:cs="仿宋_GB2312" w:eastAsia="仿宋_GB2312"/>
              </w:rPr>
              <w:t>项目实施进度计划和质量管理措施。包括：①实施进度方案；②进度保障措施；③成果文件质量控制措施。方案科学合理、保障措施有力得9分。评审内容每缺一项扣3分。投标内容有瑕疵的，每出现一次扣0.5分，扣完为止。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 拟派项目团队人员配置：①项目负责人具备一级注册建筑师执业资格且具有高级职称的得2分，仅具备其中一项的得1分；②建筑、结构、给排水、电气、暖通、市政、燃气、造价等各专业人员配备齐全的得2分，每缺一个专业扣0.25分；③各专业负责人具有高级职称或相应注册执业资格的，每提供一人得0.25分，最高得2分。（注：提供证书复印件或扫描件，不提供不得分）。 2.项目团队配置①组织机构设置方案②团队的职能分工及职责划分方案。机构设置合理、团队人员职责划分明确、团队配置满足项目情况及需要，人员专业能力能有效保障项目服务质量，内容描述详细，架构清晰的得4分。评审内容每缺一项扣2分。投标内容有瑕疵的，每出现一次扣0.5分，扣完为止。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服务内容均方案完整、可操作性强得3分。评审内容每缺一项扣1分。投标内容有瑕疵的，每出现一次扣0.5分，扣完为止。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提供投标人2021年1月至响应文件递交截止日类似项目业绩（以合同复印件为准），每提供一份业绩得4分，最高得8分。若提供虚假业绩，一经发现，按无效投标处理。 类似项目指：城市更新或城市基础设施更新改造类项目的可行性研究报告编制、初步设计方案编制、项目实施方案（含“一图三表”）编制等相关技术咨询服务项目。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价格分采用低价优先法计算，即满足招标文件要求且投标价格最低的投标报价为评标基准价，其他投标人的价格分按照下列公式计算： 价格分=（评标基准价/投标报价）×10 根据相关规定，对符合要求小型和微型企业、残疾人企业、监狱企业的价格给予10%的扣除，用扣除后的价格参与评审。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详见附件：资格证明文件（包1）.docx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详见附件：资格证明文件-（包2）.docx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详见附件：合同格式条款.docx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