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398D8">
      <w:pPr>
        <w:pStyle w:val="6"/>
      </w:pPr>
      <w:r>
        <w:rPr>
          <w:rFonts w:ascii="仿宋_GB2312" w:hAnsi="仿宋_GB2312" w:eastAsia="仿宋_GB2312" w:cs="仿宋_GB2312"/>
        </w:rPr>
        <w:t>采购包1：</w:t>
      </w:r>
    </w:p>
    <w:p w14:paraId="25C2410A">
      <w:pPr>
        <w:pStyle w:val="6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lang w:eastAsia="zh-CN"/>
        </w:rPr>
        <w:t>2026年中央空调和新风系统维保项目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11"/>
        <w:gridCol w:w="5716"/>
      </w:tblGrid>
      <w:tr w14:paraId="3373C8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053F4427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511" w:type="dxa"/>
          </w:tcPr>
          <w:p w14:paraId="38BEF2CD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5716" w:type="dxa"/>
          </w:tcPr>
          <w:p w14:paraId="2BA73599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B252C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13C4ABB1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511" w:type="dxa"/>
          </w:tcPr>
          <w:p w14:paraId="1BE2E22C"/>
        </w:tc>
        <w:tc>
          <w:tcPr>
            <w:tcW w:w="5716" w:type="dxa"/>
          </w:tcPr>
          <w:p w14:paraId="5C0BAAE7">
            <w:pPr>
              <w:pStyle w:val="6"/>
              <w:jc w:val="left"/>
              <w:rPr>
                <w:rFonts w:ascii="仿宋_GB2312" w:hAnsi="仿宋_GB2312" w:eastAsia="仿宋_GB2312" w:cs="仿宋_GB2312"/>
                <w:color w:val="000000"/>
                <w:sz w:val="21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一、项目概况</w:t>
            </w:r>
          </w:p>
          <w:p w14:paraId="4DFCC4ED">
            <w:pPr>
              <w:pStyle w:val="6"/>
              <w:jc w:val="left"/>
              <w:rPr>
                <w:rFonts w:ascii="仿宋_GB2312" w:hAnsi="仿宋_GB2312" w:eastAsia="仿宋_GB2312" w:cs="仿宋_GB2312"/>
                <w:color w:val="000000"/>
                <w:sz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</w:rPr>
              <w:t>中心办公大楼面积3.65万平方米，大楼内中央空调及新风系统共分四部分，分别为燃气式直燃机系统，冷却塔，电机、水泵和管道及空调、新风末端设备，为保障中央空调的正常运转，需要对以上四部</w:t>
            </w: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color w:val="000000"/>
                <w:sz w:val="21"/>
              </w:rPr>
              <w:t>分设备进行专业清洗、维修、检查和保养。</w:t>
            </w:r>
          </w:p>
        </w:tc>
      </w:tr>
      <w:tr w14:paraId="5CA62E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7" w:hRule="atLeast"/>
        </w:trPr>
        <w:tc>
          <w:tcPr>
            <w:tcW w:w="1080" w:type="dxa"/>
          </w:tcPr>
          <w:p w14:paraId="55FD8DE8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511" w:type="dxa"/>
          </w:tcPr>
          <w:p w14:paraId="3E7D65C4"/>
        </w:tc>
        <w:tc>
          <w:tcPr>
            <w:tcW w:w="5716" w:type="dxa"/>
          </w:tcPr>
          <w:p w14:paraId="513B18AA">
            <w:pPr>
              <w:pStyle w:val="6"/>
              <w:jc w:val="left"/>
              <w:rPr>
                <w:rFonts w:ascii="仿宋_GB2312" w:hAnsi="仿宋_GB2312" w:eastAsia="仿宋_GB2312" w:cs="仿宋_GB2312"/>
                <w:color w:val="000000"/>
                <w:sz w:val="21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二、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</w:rPr>
              <w:t>中央空调及新风系统维保要求</w:t>
            </w:r>
          </w:p>
          <w:p w14:paraId="21E1ED6E">
            <w:pPr>
              <w:pStyle w:val="6"/>
              <w:jc w:val="left"/>
              <w:rPr>
                <w:rFonts w:ascii="仿宋_GB2312" w:hAnsi="仿宋_GB2312" w:eastAsia="仿宋_GB2312" w:cs="仿宋_GB2312"/>
                <w:color w:val="000000"/>
                <w:sz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</w:rPr>
              <w:t>（一）直燃机维护</w:t>
            </w:r>
          </w:p>
          <w:p w14:paraId="7FEED052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sz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</w:rPr>
              <w:t>1.设备情况。空调主机部分（共壹台），直燃机设备型号ZXQ-349H2M2，设备编号ZXJF1080</w:t>
            </w:r>
          </w:p>
          <w:p w14:paraId="7D0D5D3E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sz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2、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服务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lang w:val="en-US" w:eastAsia="zh-CN"/>
              </w:rPr>
              <w:t>标准</w:t>
            </w:r>
          </w:p>
          <w:tbl>
            <w:tblPr>
              <w:tblStyle w:val="4"/>
              <w:tblpPr w:leftFromText="180" w:rightFromText="180" w:vertAnchor="text" w:horzAnchor="page" w:tblpX="1571" w:tblpY="112"/>
              <w:tblOverlap w:val="never"/>
              <w:tblW w:w="4961" w:type="pct"/>
              <w:tblInd w:w="0" w:type="dxa"/>
              <w:tblBorders>
                <w:top w:val="single" w:color="auto" w:sz="12" w:space="0"/>
                <w:left w:val="single" w:color="auto" w:sz="12" w:space="0"/>
                <w:bottom w:val="single" w:color="auto" w:sz="12" w:space="0"/>
                <w:right w:val="single" w:color="auto" w:sz="12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06"/>
              <w:gridCol w:w="3821"/>
            </w:tblGrid>
            <w:tr w14:paraId="14D0640E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</w:trPr>
              <w:tc>
                <w:tcPr>
                  <w:tcW w:w="14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</w:tcBorders>
                  <w:noWrap w:val="0"/>
                  <w:vAlign w:val="center"/>
                </w:tcPr>
                <w:p w14:paraId="23E6387F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服务项目</w:t>
                  </w:r>
                </w:p>
              </w:tc>
              <w:tc>
                <w:tcPr>
                  <w:tcW w:w="3520" w:type="pct"/>
                  <w:tcBorders>
                    <w:top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B0B8E3F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服务标准</w:t>
                  </w:r>
                </w:p>
              </w:tc>
            </w:tr>
            <w:tr w14:paraId="21186D1F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2" w:hRule="atLeast"/>
              </w:trPr>
              <w:tc>
                <w:tcPr>
                  <w:tcW w:w="14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570BC07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日常的技术支持</w:t>
                  </w:r>
                </w:p>
              </w:tc>
              <w:tc>
                <w:tcPr>
                  <w:tcW w:w="352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233D394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直燃机维护原厂技术调试确保正常运行，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随时向用户提供技术咨询与支持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。</w:t>
                  </w:r>
                </w:p>
              </w:tc>
            </w:tr>
            <w:tr w14:paraId="2C41D840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4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A33AB0C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周期性的专业保养</w:t>
                  </w:r>
                </w:p>
              </w:tc>
              <w:tc>
                <w:tcPr>
                  <w:tcW w:w="352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6F1E89D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主机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每间隔2月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进行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1次专业维修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保养（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全年共计不得少于6次）。</w:t>
                  </w:r>
                </w:p>
              </w:tc>
            </w:tr>
            <w:tr w14:paraId="5BC72EC9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47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AE63776">
                  <w:pPr>
                    <w:pStyle w:val="6"/>
                    <w:jc w:val="left"/>
                    <w:rPr>
                      <w:rFonts w:hint="default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年度大型保养</w:t>
                  </w:r>
                </w:p>
              </w:tc>
              <w:tc>
                <w:tcPr>
                  <w:tcW w:w="352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41DC9D1">
                  <w:pPr>
                    <w:pStyle w:val="6"/>
                    <w:jc w:val="left"/>
                    <w:rPr>
                      <w:rFonts w:hint="default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主机年度大型保养1次，时间节点为每年供暖季度结束后至夏季制冷启动之前（具体施工开展日期根据现场实际情况自定）。</w:t>
                  </w:r>
                </w:p>
              </w:tc>
            </w:tr>
            <w:tr w14:paraId="2DA4801A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0" w:hRule="atLeast"/>
              </w:trPr>
              <w:tc>
                <w:tcPr>
                  <w:tcW w:w="1479" w:type="pct"/>
                  <w:tcBorders>
                    <w:top w:val="single" w:color="auto" w:sz="4" w:space="0"/>
                    <w:left w:val="single" w:color="auto" w:sz="4" w:space="0"/>
                  </w:tcBorders>
                  <w:noWrap w:val="0"/>
                  <w:vAlign w:val="center"/>
                </w:tcPr>
                <w:p w14:paraId="7CFE4529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高效的故障响应</w:t>
                  </w:r>
                </w:p>
              </w:tc>
              <w:tc>
                <w:tcPr>
                  <w:tcW w:w="3520" w:type="pct"/>
                  <w:tcBorders>
                    <w:top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5FAECBB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全年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24小时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电话响应，接到故障报修信息2小时内到场响应。</w:t>
                  </w:r>
                </w:p>
              </w:tc>
            </w:tr>
            <w:tr w14:paraId="59960578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9" w:hRule="atLeast"/>
              </w:trPr>
              <w:tc>
                <w:tcPr>
                  <w:tcW w:w="1479" w:type="pct"/>
                  <w:tcBorders>
                    <w:left w:val="single" w:color="auto" w:sz="4" w:space="0"/>
                  </w:tcBorders>
                  <w:noWrap w:val="0"/>
                  <w:vAlign w:val="center"/>
                </w:tcPr>
                <w:p w14:paraId="29A7CA8E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定期的性能试验</w:t>
                  </w:r>
                </w:p>
              </w:tc>
              <w:tc>
                <w:tcPr>
                  <w:tcW w:w="3520" w:type="pct"/>
                  <w:tcBorders>
                    <w:right w:val="single" w:color="auto" w:sz="4" w:space="0"/>
                  </w:tcBorders>
                  <w:noWrap w:val="0"/>
                  <w:vAlign w:val="center"/>
                </w:tcPr>
                <w:p w14:paraId="5EA6CE2E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每年制冷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季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、采暖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季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各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进行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1次（其中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包含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：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溴化锂主机及泵房附属系统设备等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）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  <w:t>。</w:t>
                  </w:r>
                </w:p>
              </w:tc>
            </w:tr>
            <w:tr w14:paraId="1BE874A6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8" w:hRule="atLeast"/>
              </w:trPr>
              <w:tc>
                <w:tcPr>
                  <w:tcW w:w="1479" w:type="pct"/>
                  <w:tcBorders>
                    <w:left w:val="single" w:color="auto" w:sz="4" w:space="0"/>
                  </w:tcBorders>
                  <w:noWrap w:val="0"/>
                  <w:vAlign w:val="center"/>
                </w:tcPr>
                <w:p w14:paraId="50A38762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额外的增值服务</w:t>
                  </w:r>
                </w:p>
              </w:tc>
              <w:tc>
                <w:tcPr>
                  <w:tcW w:w="3520" w:type="pct"/>
                  <w:tcBorders>
                    <w:right w:val="single" w:color="auto" w:sz="4" w:space="0"/>
                  </w:tcBorders>
                  <w:noWrap w:val="0"/>
                  <w:vAlign w:val="center"/>
                </w:tcPr>
                <w:p w14:paraId="35A74517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溴化锂溶液和冷却水/冷水水样免费检测服务（1次/年）提供化验报告</w:t>
                  </w:r>
                </w:p>
              </w:tc>
            </w:tr>
            <w:tr w14:paraId="1CFA9DB5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4" w:hRule="atLeast"/>
              </w:trPr>
              <w:tc>
                <w:tcPr>
                  <w:tcW w:w="1479" w:type="pct"/>
                  <w:tcBorders>
                    <w:left w:val="single" w:color="auto" w:sz="4" w:space="0"/>
                  </w:tcBorders>
                  <w:noWrap w:val="0"/>
                  <w:vAlign w:val="center"/>
                </w:tcPr>
                <w:p w14:paraId="000E539E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年度服务质量的测评</w:t>
                  </w:r>
                </w:p>
              </w:tc>
              <w:tc>
                <w:tcPr>
                  <w:tcW w:w="3520" w:type="pct"/>
                  <w:tcBorders>
                    <w:right w:val="single" w:color="auto" w:sz="4" w:space="0"/>
                  </w:tcBorders>
                  <w:noWrap w:val="0"/>
                  <w:vAlign w:val="center"/>
                </w:tcPr>
                <w:p w14:paraId="5D28A598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1次/年</w:t>
                  </w:r>
                </w:p>
              </w:tc>
            </w:tr>
            <w:tr w14:paraId="0BBB7C0B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479" w:type="pct"/>
                  <w:vMerge w:val="restart"/>
                  <w:tcBorders>
                    <w:left w:val="single" w:color="auto" w:sz="4" w:space="0"/>
                  </w:tcBorders>
                  <w:noWrap w:val="0"/>
                  <w:vAlign w:val="center"/>
                </w:tcPr>
                <w:p w14:paraId="7AC5BAB9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全方位的监督考核</w:t>
                  </w:r>
                </w:p>
              </w:tc>
              <w:tc>
                <w:tcPr>
                  <w:tcW w:w="3520" w:type="pct"/>
                  <w:tcBorders>
                    <w:right w:val="single" w:color="auto" w:sz="4" w:space="0"/>
                  </w:tcBorders>
                  <w:noWrap w:val="0"/>
                  <w:vAlign w:val="center"/>
                </w:tcPr>
                <w:p w14:paraId="3027A67B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服务经理现场巡查1次/年</w:t>
                  </w:r>
                </w:p>
              </w:tc>
            </w:tr>
            <w:tr w14:paraId="5407ADDE">
              <w:tblPrEx>
                <w:tblBorders>
                  <w:top w:val="single" w:color="auto" w:sz="12" w:space="0"/>
                  <w:left w:val="single" w:color="auto" w:sz="12" w:space="0"/>
                  <w:bottom w:val="single" w:color="auto" w:sz="12" w:space="0"/>
                  <w:right w:val="single" w:color="auto" w:sz="12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479" w:type="pct"/>
                  <w:vMerge w:val="continue"/>
                  <w:tcBorders>
                    <w:left w:val="single" w:color="auto" w:sz="4" w:space="0"/>
                    <w:bottom w:val="single" w:color="auto" w:sz="4" w:space="0"/>
                  </w:tcBorders>
                  <w:noWrap w:val="0"/>
                  <w:vAlign w:val="center"/>
                </w:tcPr>
                <w:p w14:paraId="568CE8F5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</w:p>
              </w:tc>
              <w:tc>
                <w:tcPr>
                  <w:tcW w:w="3520" w:type="pct"/>
                  <w:tcBorders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466A03F">
                  <w:pPr>
                    <w:pStyle w:val="6"/>
                    <w:jc w:val="left"/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sz w:val="21"/>
                      <w:lang w:val="en-US" w:eastAsia="zh-Hans"/>
                    </w:rPr>
                    <w:t>服务公司总部与用户主管电话沟通（1次/年）</w:t>
                  </w:r>
                </w:p>
              </w:tc>
            </w:tr>
          </w:tbl>
          <w:p w14:paraId="2CE7F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3.维护内容</w:t>
            </w:r>
          </w:p>
          <w:p w14:paraId="746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bookmarkStart w:id="0" w:name="OLE_LINK1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（1）溴化锂主机年度保养计划表</w:t>
            </w:r>
          </w:p>
          <w:tbl>
            <w:tblPr>
              <w:tblStyle w:val="4"/>
              <w:tblW w:w="4999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00"/>
              <w:gridCol w:w="3389"/>
            </w:tblGrid>
            <w:tr w14:paraId="2240EB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18D5DBE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保养项目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434020A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保养内容、方法及要求</w:t>
                  </w:r>
                </w:p>
              </w:tc>
            </w:tr>
            <w:tr w14:paraId="25BFE9E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5000" w:type="pct"/>
                  <w:gridSpan w:val="2"/>
                  <w:noWrap w:val="0"/>
                  <w:vAlign w:val="center"/>
                </w:tcPr>
                <w:p w14:paraId="39F7243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1.真空检查与保养</w:t>
                  </w:r>
                </w:p>
              </w:tc>
            </w:tr>
            <w:tr w14:paraId="4D0DCD3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3CEE14B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1.1机组真空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7EE5D55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1.机组真空度检测及真空合格度确认，自抽压力显示值及真空读数是否正常；2.自抽系统工作是否正常；3.据需实施气泡法测真空验证主机真空是否合格；</w:t>
                  </w:r>
                </w:p>
              </w:tc>
            </w:tr>
            <w:tr w14:paraId="1A55A8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098B665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1.2真空泵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32FC27E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1.极限性能的确认；2.阀门及其连接管道的密封；3.真空泵油面及油质检查、更换；4.电器的常规检查；5.真空泵表面污垢清理；</w:t>
                  </w:r>
                </w:p>
              </w:tc>
            </w:tr>
            <w:tr w14:paraId="5FB857C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5000" w:type="pct"/>
                  <w:gridSpan w:val="2"/>
                  <w:noWrap w:val="0"/>
                  <w:vAlign w:val="center"/>
                </w:tcPr>
                <w:p w14:paraId="04A9B75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2.运行质量检查</w:t>
                  </w:r>
                </w:p>
              </w:tc>
            </w:tr>
            <w:tr w14:paraId="44D4C9F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5949FB7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2.1调阅运行记录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298FAF6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1.查阅作业员记录的运行数据；2.查阅主机的历史记录，分析其中的异常数据记录；3.查阅故障参数信息；</w:t>
                  </w:r>
                </w:p>
              </w:tc>
            </w:tr>
            <w:tr w14:paraId="30298A6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49A3636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2.2运行观察、性能试验（至少60分钟）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01724B3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主机的负荷与出力情况观察，制冷效率是否稳定；2.（高压）发生器液位是否稳定，机组有无异响；3.变频器、溶液泵、冷剂泵的工作是否正常；4.主机各运行部件有无噪音等异常；5.燃烧器/蒸汽调节阀是否频繁启停/开关；6.对主机的运行数据进行记录，对运行性能方面存在的问题提出运行改进或维护建议；</w:t>
                  </w:r>
                </w:p>
              </w:tc>
            </w:tr>
            <w:tr w14:paraId="5A10139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387B53A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2.3现场技术交流（至少20分钟）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4786815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1.了解操作人员的习惯，进行操作要领培训；2.集中讲解故障疑点及技术难点；</w:t>
                  </w:r>
                </w:p>
              </w:tc>
            </w:tr>
            <w:tr w14:paraId="49A7490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5000" w:type="pct"/>
                  <w:gridSpan w:val="2"/>
                  <w:noWrap w:val="0"/>
                  <w:vAlign w:val="center"/>
                </w:tcPr>
                <w:p w14:paraId="27E6483D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3.工质检查及保养</w:t>
                  </w:r>
                </w:p>
              </w:tc>
            </w:tr>
            <w:tr w14:paraId="5B7670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7726D25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3.1冷剂水检查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211D948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1.目测透明清澈无杂质；2.冷剂水密度；</w:t>
                  </w:r>
                </w:p>
              </w:tc>
            </w:tr>
            <w:tr w14:paraId="165283E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6D900A6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3.2溶液检查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7722018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1.稀溶液浓度检测；2.浓溶液浓度检测与显示校验；</w:t>
                  </w:r>
                </w:p>
              </w:tc>
            </w:tr>
            <w:tr w14:paraId="6C0A57B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24A3C87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3.3循环量（变频器）调整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13EADCB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1.稀溶液循环量调节阀阀位；2.参数调整；3.变频器散热部件清灰；</w:t>
                  </w:r>
                </w:p>
              </w:tc>
            </w:tr>
            <w:tr w14:paraId="0C61F33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6B73561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3.4蒸汽品质检查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1EF0D52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1.蒸汽压力检查；2.蒸汽温度检测；</w:t>
                  </w:r>
                </w:p>
              </w:tc>
            </w:tr>
            <w:tr w14:paraId="03D73E6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498D243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3.5冷水/冷却水水质化验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5815F1D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 xml:space="preserve">1.主要检测指标检测,如达不到标准，与用户沟通进行处理。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</w:tr>
            <w:tr w14:paraId="2753588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5000" w:type="pct"/>
                  <w:gridSpan w:val="2"/>
                  <w:noWrap w:val="0"/>
                  <w:vAlign w:val="center"/>
                </w:tcPr>
                <w:p w14:paraId="27DEBE0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4.电气检查与保养</w:t>
                  </w:r>
                </w:p>
              </w:tc>
            </w:tr>
            <w:tr w14:paraId="4CE932C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4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11EA891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4.1压力/温度检查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3A65217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1.显示值正常；2.接线牢固；</w:t>
                  </w:r>
                </w:p>
              </w:tc>
            </w:tr>
            <w:tr w14:paraId="67B94CE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31C548C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 xml:space="preserve">4.2 控制/安全参数检查 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4405102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 安全参数/调节参数校对；</w:t>
                  </w:r>
                </w:p>
              </w:tc>
            </w:tr>
            <w:tr w14:paraId="686928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1984759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4.3供电电源电压、电流检查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6A1448F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1.万用表检测供电电压；2.钳型表检测电流值；</w:t>
                  </w:r>
                </w:p>
              </w:tc>
            </w:tr>
            <w:tr w14:paraId="35804A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7D7157E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4.4液位传感器校验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1BAE089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1.液位显示校验；2.接线牢固；3.动作灵敏；</w:t>
                  </w:r>
                </w:p>
              </w:tc>
            </w:tr>
            <w:tr w14:paraId="7540F2B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0139708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4.5靶流开关安全试验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47C05B3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1.安装正确；2.动作灵敏；3.接线牢固；4.不漏水；</w:t>
                  </w:r>
                </w:p>
              </w:tc>
            </w:tr>
            <w:tr w14:paraId="5E24536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1F82394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4.6故障报警安全试验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54E21693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1.报警显示校验；2.接线牢固；3.动作灵敏；</w:t>
                  </w:r>
                </w:p>
              </w:tc>
            </w:tr>
            <w:tr w14:paraId="46712E0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0EE2BA4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4.7蒸汽电动阀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61FC91E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1.执行器动作检查；2.不漏汽；3.动作正常；4.传动齿轮加油</w:t>
                  </w:r>
                </w:p>
              </w:tc>
            </w:tr>
            <w:tr w14:paraId="2090B3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1A4D069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4.8水泵连锁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7281908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1.动作正常；2.接线牢固</w:t>
                  </w:r>
                </w:p>
              </w:tc>
            </w:tr>
            <w:tr w14:paraId="242989E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09F497A9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4.9变频器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78FE6AC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1.电器保养；2.风机机械保养；3.风扇/散热片清灰；</w:t>
                  </w:r>
                </w:p>
              </w:tc>
            </w:tr>
            <w:tr w14:paraId="1942D94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205BB1B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4.10溶液泵/冷剂泵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17171ED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1.摇表检测绝缘电阻≥5兆欧（每年一次）；2.接线牢固；</w:t>
                  </w:r>
                </w:p>
              </w:tc>
            </w:tr>
            <w:tr w14:paraId="5726C34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74FE1DA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4.11机组接地检查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5A98912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1.摇表检测机组接地电阻，≤10欧姆（每年一次）；</w:t>
                  </w:r>
                </w:p>
              </w:tc>
            </w:tr>
            <w:tr w14:paraId="4ED24A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5000" w:type="pct"/>
                  <w:gridSpan w:val="2"/>
                  <w:noWrap w:val="0"/>
                  <w:vAlign w:val="center"/>
                </w:tcPr>
                <w:p w14:paraId="0537ECD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5.燃烧器检查与保养</w:t>
                  </w:r>
                </w:p>
              </w:tc>
            </w:tr>
            <w:tr w14:paraId="09EFB7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39F82F7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5.1燃烧情况检查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38ADC56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1.烟气分析（运行期间一次）；2.燃烧器风机运行有无异常振动及杂音，风门机构传动是否正常；3.有条件的观察燃气流量及压力，确定燃烧器是否在正常负荷工作；</w:t>
                  </w:r>
                </w:p>
              </w:tc>
            </w:tr>
            <w:tr w14:paraId="7F42AA2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63732D7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5.2燃烧器本体保养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531F6C7A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1.清除积灰、污垢；2.风机电机的电压及电流检测；2.接线牢固</w:t>
                  </w:r>
                </w:p>
              </w:tc>
            </w:tr>
            <w:tr w14:paraId="12E3568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7C9C18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5.3阀组及燃烧器燃气管路检查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5C25260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检查各部件连接处是否有泄漏；</w:t>
                  </w:r>
                </w:p>
              </w:tc>
            </w:tr>
            <w:tr w14:paraId="327E2F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1E9D6515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5.4燃气（油）系统过滤器检查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42702D9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检查并清洗过滤器（主管路过滤器、油泵过滤器、喷咀过滤器）</w:t>
                  </w:r>
                </w:p>
              </w:tc>
            </w:tr>
            <w:tr w14:paraId="10FA07E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6803625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5.5传动机构保养检查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660E79CE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1.清除钢带上的灰尘和水渍，防止生锈；2.检查风门及转动情况，进风口清灰处理；</w:t>
                  </w:r>
                </w:p>
              </w:tc>
            </w:tr>
            <w:tr w14:paraId="75510A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342BC7A6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5.6燃气阀组/检漏仪检查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5C6FE62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检查燃气阀组/泄漏检测装置动作是否正常；</w:t>
                  </w:r>
                </w:p>
              </w:tc>
            </w:tr>
            <w:tr w14:paraId="22E7CCA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1913" w:type="pct"/>
                  <w:noWrap w:val="0"/>
                  <w:vAlign w:val="center"/>
                </w:tcPr>
                <w:p w14:paraId="5096AC1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>5.7压力开关检查</w:t>
                  </w:r>
                </w:p>
              </w:tc>
              <w:tc>
                <w:tcPr>
                  <w:tcW w:w="3086" w:type="pct"/>
                  <w:noWrap w:val="0"/>
                  <w:vAlign w:val="center"/>
                </w:tcPr>
                <w:p w14:paraId="0D3EE85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00" w:lineRule="exact"/>
                    <w:jc w:val="center"/>
                    <w:textAlignment w:val="auto"/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CN"/>
                    </w:rPr>
                    <w:t>1.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 w:val="21"/>
                      <w:szCs w:val="20"/>
                      <w:lang w:val="en-US" w:eastAsia="zh-Hans"/>
                    </w:rPr>
                    <w:t xml:space="preserve">试验上、下压力超限动作是否正常； </w:t>
                  </w:r>
                </w:p>
              </w:tc>
            </w:tr>
          </w:tbl>
          <w:p w14:paraId="295A3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注：年维护保养适用于年度检修期间的综合维护保养，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每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年度至少实施一次。</w:t>
            </w:r>
            <w:bookmarkEnd w:id="0"/>
          </w:p>
        </w:tc>
      </w:tr>
      <w:tr w14:paraId="447EED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6" w:hRule="atLeast"/>
        </w:trPr>
        <w:tc>
          <w:tcPr>
            <w:tcW w:w="1080" w:type="dxa"/>
          </w:tcPr>
          <w:p w14:paraId="0C8EE2BA">
            <w:pPr>
              <w:pStyle w:val="6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</w:t>
            </w:r>
          </w:p>
        </w:tc>
        <w:tc>
          <w:tcPr>
            <w:tcW w:w="1511" w:type="dxa"/>
          </w:tcPr>
          <w:p w14:paraId="66C5D817"/>
        </w:tc>
        <w:tc>
          <w:tcPr>
            <w:tcW w:w="5716" w:type="dxa"/>
          </w:tcPr>
          <w:p w14:paraId="52B1B6E8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（二）夏季制冷冷却循环系统（冷却塔等）维护</w:t>
            </w:r>
          </w:p>
          <w:p w14:paraId="631AD7CF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1.设备情况。冷却塔1座（清洗冷却塔布水器、填料及托盘），冷却循环水1套（主系统清洗、钝化、预膜及保养），冷却风扇系统2套。</w:t>
            </w:r>
          </w:p>
          <w:p w14:paraId="5CCAFEC7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2.服务标准及维护内容。</w:t>
            </w:r>
          </w:p>
          <w:p w14:paraId="78344EE2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（1）检查冷却塔是否正常工作、联接螺栓、机脚螺栓有无松动锈蚀、对松动和锈蚀部分进行维护修理。</w:t>
            </w:r>
          </w:p>
          <w:p w14:paraId="5143F768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（2）检查管道、浮球阀及自动电动阀门运行有无故障是否有漏水现象、对损坏部件进行维修处理。</w:t>
            </w:r>
          </w:p>
          <w:p w14:paraId="58F5BD8C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（3）检查播水盘喷嘴是否堵塞、清理淋水装置内的杂物。</w:t>
            </w:r>
          </w:p>
          <w:p w14:paraId="50A73FD4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（4）清理集水池内的污物。</w:t>
            </w:r>
          </w:p>
          <w:p w14:paraId="1B30BFCE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（5）检查电机的防潮情况和叶旋转是否灵活，注润滑油检查并更换损坏的轴承风机，轴承保证经长时运行，风机和电机的轴承温度正常。</w:t>
            </w:r>
          </w:p>
          <w:p w14:paraId="26BE80FA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（6）检查水箱有无损伤和漏水现象、塔体、扶梯等维保杀菌灭藻并保持冷却塔的清理，浮球调节维修。</w:t>
            </w:r>
          </w:p>
          <w:p w14:paraId="6D864E86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（7）检查齿轮传动装置并加注润滑油、对抽、轴承、咬合进行调整。</w:t>
            </w:r>
          </w:p>
          <w:p w14:paraId="74A17F45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（8）对水系统管道应作除锈防锈处理有破损脱落处及时修补，有故障的阀门应拆修或换新、主管路阀门除锈、刷油漆、阀门加注黄油拆洗“Y”型过滤器维护保养。</w:t>
            </w:r>
          </w:p>
          <w:p w14:paraId="28DE7327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（9）集水盘维护维护、塔体、扶梯等保养杀菌灭藻并保持冷却塔的清洁、集水盘维护维修、集水盘防腐蚀托盘淤泥杂物清理，填枓清洗灭减少污垢附着，布水器维护保保养，消音棉更换及维护。</w:t>
            </w:r>
          </w:p>
          <w:p w14:paraId="6A5FF796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（10）其他与之关联影响系统正常工作的部件、设备等。</w:t>
            </w:r>
          </w:p>
        </w:tc>
      </w:tr>
      <w:tr w14:paraId="09B8BD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39DF75AA">
            <w:pPr>
              <w:pStyle w:val="6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4</w:t>
            </w:r>
          </w:p>
        </w:tc>
        <w:tc>
          <w:tcPr>
            <w:tcW w:w="1511" w:type="dxa"/>
          </w:tcPr>
          <w:p w14:paraId="4063594B"/>
        </w:tc>
        <w:tc>
          <w:tcPr>
            <w:tcW w:w="5716" w:type="dxa"/>
          </w:tcPr>
          <w:p w14:paraId="616C78E5">
            <w:pP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 xml:space="preserve">（三）电机水泵维护 </w:t>
            </w:r>
          </w:p>
          <w:p w14:paraId="4D69C2BF">
            <w:pP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1.设备情况。电机4台（隔爆型三相异步电动机），水泵4台，机房配电柜及变频柜（3个ABB继电开关）。</w:t>
            </w:r>
          </w:p>
          <w:p w14:paraId="749C5B98">
            <w:pP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2.服务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标准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及维护内容。</w:t>
            </w:r>
          </w:p>
          <w:p w14:paraId="6B492BEF">
            <w:pP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1）电机水泵组成、检查电机轴承有无阻滞现象，如有则应加润滑油，如加润滑油后仍不行则应更换同型号规格的轴承。检查电动机风叶有无擦壳现象、如有则应修整处理水泵维护转动水泵轴、观察是否有阻滞碰撞卡住现象、如是轴承问题则对轴承加注润油或更轴承，如是水泵叶轮问题则应拆除维修水泵有无损坏。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（2）清洗水泵机组外壳，如脱漆或绣蚀严重，则应重新油漆一遍。</w:t>
            </w:r>
          </w:p>
          <w:p w14:paraId="091C09E3">
            <w:pP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（3）其他应维护的部件、设备等。</w:t>
            </w:r>
          </w:p>
        </w:tc>
      </w:tr>
      <w:tr w14:paraId="62D35F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766BA6C4">
            <w:pPr>
              <w:pStyle w:val="6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</w:t>
            </w:r>
          </w:p>
        </w:tc>
        <w:tc>
          <w:tcPr>
            <w:tcW w:w="1511" w:type="dxa"/>
          </w:tcPr>
          <w:p w14:paraId="33F1A429">
            <w:pPr>
              <w:pStyle w:val="6"/>
            </w:pPr>
          </w:p>
        </w:tc>
        <w:tc>
          <w:tcPr>
            <w:tcW w:w="5716" w:type="dxa"/>
          </w:tcPr>
          <w:p w14:paraId="66BD0C3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（四）中央空调及新风系统末端系统维护</w:t>
            </w:r>
          </w:p>
          <w:p w14:paraId="67F4ED3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1.设备情况。中央空调末端系统（中央空调管道及四面下出风口78个，侧面出风口82个），22台新风机系统和风机盘管的送风口104个。</w:t>
            </w:r>
          </w:p>
          <w:p w14:paraId="08543A01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2.服务标准。</w:t>
            </w:r>
          </w:p>
          <w:p w14:paraId="79A8DAD9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1）检查性维护保养。基于设备运行情况和中心需求，进行各类常规检查，空调运行期间每月一次现场巡查，查看是否存在制冷、制热效果差问题，提出解决方案；对设备运行存在的问题提供专业意见和维保方案。</w:t>
            </w:r>
          </w:p>
          <w:p w14:paraId="5EFF1FE0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2）预防性维护保养。每半年拆卸并清洗一次中央空调四面下出风口和侧面出风口；每年清洗换热器铜管、分析和更换冷冻机油、油滤芯、干燥过滤器等；常规检查和紧急故障处理，在设备故障时，负责全部维修工作和500元以下所有单价零部件的更换；如有超出单价部分的配件需要更换则上报给采购人另行协商。</w:t>
            </w:r>
          </w:p>
          <w:p w14:paraId="652986C5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 xml:space="preserve">（3）紧急性维修。根据需求，24小时提供紧急维修服务，保证2小时内应急响应，最大限度调配专业维修人员快速排除故障，确保最短停机时间。  </w:t>
            </w:r>
          </w:p>
          <w:p w14:paraId="0FD86389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3.维护内容。空调末端系统工作时间内，每月不少于1次巡查，发现问题及时处理。</w:t>
            </w:r>
          </w:p>
          <w:p w14:paraId="2B589832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1）新风机管网维护内容。巡查管道有无跑、冒、滴、漏现象，发现及时处理；检查管路保温有无开裂滴水现象，发现开裂及时修补；检查阀门锈蚀与破损情况，阀门螺栓紧固、阀杆加注润滑油；检查保温接头有无渗漏，发现及时修补；检查阀门开启、关闭是否灵活；金属管道外露部分和管道支架除锈刷防腐漆；通往室外的风管是否保持坡度，以防雨水倒灌；检查过滤器的密封及渗漏情况；检查进风、送风风阀是否在开启状态；检查机内有无其他异常情况，内板装好后是否密封；清洁风机外观、冷凝水盘及畅通冷凝水管；检查各接线头是否牢固，是否有过热痕迹，如是则作相应整修；检查室内送风管中隔音材料是否有脱落或开裂，以减少送风口的运转噪音；其他应维护的部件、设备等。</w:t>
            </w:r>
          </w:p>
          <w:p w14:paraId="184BDC8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（2）风机盘管系统维护内容。检查风机盘管出风口温度，发现温度异常应及时查找原因并修复；检查托水盘有无倒坡，发现有排水不畅立即修复；检查管路、风机盘管保温是否完好，有无结露现象；检查风机运转声音是否正常，测量出风口风量有无变化；清洗检查回风口空气过滤网, 保障通风畅通、过滤网完好；清洁出风口表面灰尘、清洁电机叶片灰尘；检查冷冻水进出口阀门、清洗除污器管过滤网；清洗消毒回风口空气过滤网，保障通风畅通、杀菌合格；清扫电路板灰尘；新风系统定期检查新风机接线，及时解决安全隐患；每6个月检查系统并调节风量，排除隐患，保障新风效果；其他应维护的部件、设备等。</w:t>
            </w:r>
          </w:p>
        </w:tc>
      </w:tr>
      <w:tr w14:paraId="139ADB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33918BE3">
            <w:pPr>
              <w:pStyle w:val="6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6</w:t>
            </w:r>
          </w:p>
        </w:tc>
        <w:tc>
          <w:tcPr>
            <w:tcW w:w="1511" w:type="dxa"/>
          </w:tcPr>
          <w:p w14:paraId="6BBCAB01">
            <w:pPr>
              <w:pStyle w:val="6"/>
            </w:pPr>
          </w:p>
        </w:tc>
        <w:tc>
          <w:tcPr>
            <w:tcW w:w="5716" w:type="dxa"/>
          </w:tcPr>
          <w:p w14:paraId="20F7A915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zh-Han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三、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zh-Hans" w:eastAsia="zh-Hans"/>
              </w:rPr>
              <w:t>项目人员管理要求</w:t>
            </w:r>
          </w:p>
          <w:p w14:paraId="5C51ABD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1.供应商维保工作人员在现场作业时，应遵守采购人的相关制度和作业安全规定。</w:t>
            </w:r>
          </w:p>
          <w:p w14:paraId="34DE8C82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2.供应商维护不当，产生对采购人工作人员人身、财产损失，应当由供应商承担包括但不限于医疗费、财产损失费等全部费用。</w:t>
            </w:r>
          </w:p>
          <w:p w14:paraId="1C28D434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3.供应商提供服务期间或供应商工作人员（包括供应商以各种用工方式委派到采购人的作业人员）作业过程中，发生的供应商及供应商工作人员人身、财产损害事故的，均由供应商自行承担全部责任。</w:t>
            </w:r>
          </w:p>
          <w:p w14:paraId="3399A4FE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  <w:t>4.供应商负责对高空作业配备相应的安全保障措施，供应商负责维保工作人员作业过程中的一切安全保障义务，因作业过程造成的一切人员伤亡和财产损失，概由供应商全部承担，给采购人造成损失的，由供应商全额赔偿。</w:t>
            </w:r>
          </w:p>
        </w:tc>
      </w:tr>
      <w:tr w14:paraId="646FE2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5193A607">
            <w:pPr>
              <w:pStyle w:val="6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7</w:t>
            </w:r>
          </w:p>
        </w:tc>
        <w:tc>
          <w:tcPr>
            <w:tcW w:w="1511" w:type="dxa"/>
          </w:tcPr>
          <w:p w14:paraId="408F3907">
            <w:pPr>
              <w:pStyle w:val="6"/>
            </w:pPr>
          </w:p>
        </w:tc>
        <w:tc>
          <w:tcPr>
            <w:tcW w:w="5716" w:type="dxa"/>
          </w:tcPr>
          <w:p w14:paraId="03211C8E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四、保密要求</w:t>
            </w:r>
          </w:p>
          <w:p w14:paraId="66E119B6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项目实施过程中所收集、产生的所有与本项目相关的文档、资料，包括文字、图片、表格、数字等各种形式的所属权均归属省中心，供应商必须对所涉及的内容保密，供应商及服务人员应按照要求签署保密协议。</w:t>
            </w:r>
          </w:p>
        </w:tc>
      </w:tr>
      <w:tr w14:paraId="308048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</w:tcPr>
          <w:p w14:paraId="6007EBDB">
            <w:pPr>
              <w:pStyle w:val="6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8</w:t>
            </w:r>
          </w:p>
        </w:tc>
        <w:tc>
          <w:tcPr>
            <w:tcW w:w="1511" w:type="dxa"/>
          </w:tcPr>
          <w:p w14:paraId="77000E29">
            <w:pPr>
              <w:pStyle w:val="6"/>
              <w:rPr>
                <w:rFonts w:hint="eastAsia" w:eastAsiaTheme="minorEastAsia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5716" w:type="dxa"/>
          </w:tcPr>
          <w:p w14:paraId="7E5F773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五、付款方式</w:t>
            </w:r>
          </w:p>
          <w:p w14:paraId="608CA0FC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一）合同签订生效并进入服务期后按月支付服务费，供应商按照合同约定每月完成服务并提交服务报告，经采购人审核后10个工作日内支付上月服务费；26年12月申请年度最后一次支付时，供应商需提供剩余款项的有效银行保函，采购人一次性支付剩余款项，待到项目验收通过后中心退还保函。</w:t>
            </w:r>
          </w:p>
          <w:p w14:paraId="595F51E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（二）服务期间服务总费用不变，采购人无须另向服务单位支付合同约定之外的其它任何费用。</w:t>
            </w:r>
          </w:p>
          <w:p w14:paraId="4352CA43">
            <w:pPr>
              <w:pStyle w:val="6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（三）供应商须向采购人出具合法有效的发票，采购人进行支付结算。首次支付时供应商应开具全额发票。</w:t>
            </w:r>
          </w:p>
          <w:p w14:paraId="3B4CC6C2">
            <w:pPr>
              <w:pStyle w:val="6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0"/>
                <w:lang w:val="en-US" w:eastAsia="zh-CN"/>
              </w:rPr>
              <w:t>（四）结算方式：银行转账。</w:t>
            </w:r>
          </w:p>
        </w:tc>
      </w:tr>
    </w:tbl>
    <w:p w14:paraId="5C3791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A955A0"/>
    <w:rsid w:val="39A9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楷体_GB2312" w:eastAsia="楷体_GB2312"/>
      <w:sz w:val="32"/>
      <w:szCs w:val="32"/>
      <w:lang w:val="en-US" w:eastAsia="zh-CN" w:bidi="ar-SA"/>
    </w:rPr>
  </w:style>
  <w:style w:type="paragraph" w:styleId="3">
    <w:name w:val="toc 4"/>
    <w:basedOn w:val="1"/>
    <w:next w:val="1"/>
    <w:unhideWhenUsed/>
    <w:qFormat/>
    <w:uiPriority w:val="39"/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2026-06-12T07:55:00Z</dcterms:created>
  <dc:creator>833</dc:creator>
  <cp:lastModifiedBy>833</cp:lastModifiedBy>
  <dcterms:modified xsi:type="dcterms:W3CDTF">2026-06-12T07:56:08Z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03747FB768E84D5FB75A3AAC0D19CFFD_11</vt:lpwstr>
  </property>
  <property fmtid="{D5CDD505-2E9C-101B-9397-08002B2CF9AE}" pid="4" name="KSOTemplateDocerSaveRecord">
    <vt:lpwstr>eyJoZGlkIjoiNTI1OGU5NzEwNjlmOTA0NzYwMTIyZGJlNThjMzMxOGYiLCJ1c2VySWQiOiI3MjkxMTkxMTEifQ==</vt:lpwstr>
  </property>
</Properties>
</file>