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版本号：HDTH-2026GC-007.1B120260825001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农贸市场快检工作服务项目(二次)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HDTH-2026GC-007.1B1</w:t>
      </w:r>
      <w:r>
        <w:br/>
      </w:r>
      <w:r>
        <w:br/>
      </w:r>
      <w:r>
        <w:br/>
      </w:r>
    </w:p>
    <w:p>
      <w:pPr>
        <w:pStyle w:val="null3"/>
        <w:jc w:val="center"/>
        <w:outlineLvl w:val="2"/>
      </w:pPr>
      <w:r>
        <w:rPr>
          <w:rFonts w:ascii="仿宋_GB2312" w:hAnsi="仿宋_GB2312" w:cs="仿宋_GB2312" w:eastAsia="仿宋_GB2312"/>
          <w:sz w:val="28"/>
          <w:b/>
        </w:rPr>
        <w:t>西安市市场监督管理局浐灞国际港分局</w:t>
      </w:r>
    </w:p>
    <w:p>
      <w:pPr>
        <w:pStyle w:val="null3"/>
        <w:jc w:val="center"/>
        <w:outlineLvl w:val="2"/>
      </w:pPr>
      <w:r>
        <w:rPr>
          <w:rFonts w:ascii="仿宋_GB2312" w:hAnsi="仿宋_GB2312" w:cs="仿宋_GB2312" w:eastAsia="仿宋_GB2312"/>
          <w:sz w:val="28"/>
          <w:b/>
        </w:rPr>
        <w:t>陕西宏大天恒项目管理有限公司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陕西宏大天恒项目管理有限公司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西安市市场监督管理局浐灞国际港分局</w:t>
      </w:r>
      <w:r>
        <w:rPr>
          <w:rFonts w:ascii="仿宋_GB2312" w:hAnsi="仿宋_GB2312" w:cs="仿宋_GB2312" w:eastAsia="仿宋_GB2312"/>
        </w:rPr>
        <w:t>委托，拟对</w:t>
      </w:r>
      <w:r>
        <w:rPr>
          <w:rFonts w:ascii="仿宋_GB2312" w:hAnsi="仿宋_GB2312" w:cs="仿宋_GB2312" w:eastAsia="仿宋_GB2312"/>
        </w:rPr>
        <w:t>农贸市场快检工作服务项目(二次)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HDTH-2026GC-007.1B1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农贸市场快检工作服务项目(二次)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根据市场监管部门下达的检测工作，按照农贸市场的规模，每天完成对果蔬产品、畜禽产品、水产品等不同食用农产品的快速检测工作。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采购包1（农贸市场快检工作服务）：属于专门面向中小企业采购。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1、有效的主体资格证明：具有独立承担民事责任能力的企业法人或其他组织或自然人，提供营业执照或事业单位法人证书；自然人参与的提供其身份证明。</w:t>
      </w:r>
    </w:p>
    <w:p>
      <w:pPr>
        <w:pStyle w:val="null3"/>
      </w:pPr>
      <w:r>
        <w:rPr>
          <w:rFonts w:ascii="仿宋_GB2312" w:hAnsi="仿宋_GB2312" w:cs="仿宋_GB2312" w:eastAsia="仿宋_GB2312"/>
        </w:rPr>
        <w:t>2、财务状况报告：提供2024年度或2025年度经审计的财务报告（成立时间至提交磋商响应文件截止时间不足一年的可提供成立后任意时段的资产负债表），或其提交投标文件截止时间前三个月内基本存款账户开户银行出具的资信证明及开户许可证或基本账户信息表，或信用担保机构出具的投标担保函。（注：根据财政部下发的《财政部关于注册会计师行业统一监管平台上线运行的通知》和《关于加强审计报告查验工作的通知》，审计报告可通过统一监管平台或手机应用程序查询。审计报告未赋码的，或已赋码但查询无效且供应商不能做出合理解释的，视为审计报告无效。）（以上三种形式的资料提供任何一种即可）</w:t>
      </w:r>
    </w:p>
    <w:p>
      <w:pPr>
        <w:pStyle w:val="null3"/>
      </w:pPr>
      <w:r>
        <w:rPr>
          <w:rFonts w:ascii="仿宋_GB2312" w:hAnsi="仿宋_GB2312" w:cs="仿宋_GB2312" w:eastAsia="仿宋_GB2312"/>
        </w:rPr>
        <w:t>3、社会保障资金缴纳证明：供应商须提供磋商响应截止时间前6个月内任意1个月的社会保险缴纳证明（注：依法不需要缴纳社会保障资金的供应商应提供相关文件证明）。</w:t>
      </w:r>
    </w:p>
    <w:p>
      <w:pPr>
        <w:pStyle w:val="null3"/>
      </w:pPr>
      <w:r>
        <w:rPr>
          <w:rFonts w:ascii="仿宋_GB2312" w:hAnsi="仿宋_GB2312" w:cs="仿宋_GB2312" w:eastAsia="仿宋_GB2312"/>
        </w:rPr>
        <w:t>4、税收缴纳证明：供应商须提供磋商响应文件截止时间前6个月内任意1个月的缴税证明（注：依法免税或零申报的供应商应提供相关文件证明）。</w:t>
      </w:r>
    </w:p>
    <w:p>
      <w:pPr>
        <w:pStyle w:val="null3"/>
      </w:pPr>
      <w:r>
        <w:rPr>
          <w:rFonts w:ascii="仿宋_GB2312" w:hAnsi="仿宋_GB2312" w:cs="仿宋_GB2312" w:eastAsia="仿宋_GB2312"/>
        </w:rPr>
        <w:t>5、承诺书：供应商须提供具有履行本合同所必需的专业技术能力的声明。</w:t>
      </w:r>
    </w:p>
    <w:p>
      <w:pPr>
        <w:pStyle w:val="null3"/>
      </w:pPr>
      <w:r>
        <w:rPr>
          <w:rFonts w:ascii="仿宋_GB2312" w:hAnsi="仿宋_GB2312" w:cs="仿宋_GB2312" w:eastAsia="仿宋_GB2312"/>
        </w:rPr>
        <w:t>6、无重大违法声明：提供参加政府采购活动前3年内在经营活动中没有重大违法记录的书面声明。</w:t>
      </w:r>
    </w:p>
    <w:p>
      <w:pPr>
        <w:pStyle w:val="null3"/>
      </w:pPr>
      <w:r>
        <w:rPr>
          <w:rFonts w:ascii="仿宋_GB2312" w:hAnsi="仿宋_GB2312" w:cs="仿宋_GB2312" w:eastAsia="仿宋_GB2312"/>
        </w:rPr>
        <w:t>7、法定代表人证明/法定代表人授权委托书：非法定代表人参加投标时，须提供法定代表人授权委托书、被授权人身份证及授权代表在磋商响应文件递交截止之日前在供应商近3个月内任意一个月的社保证明；法定代表人参加投标时,须提供法人身份证明书及法定代表人身份证。</w:t>
      </w:r>
    </w:p>
    <w:p>
      <w:pPr>
        <w:pStyle w:val="null3"/>
      </w:pPr>
      <w:r>
        <w:rPr>
          <w:rFonts w:ascii="仿宋_GB2312" w:hAnsi="仿宋_GB2312" w:cs="仿宋_GB2312" w:eastAsia="仿宋_GB2312"/>
        </w:rPr>
        <w:t>8、信用查询：供应商在磋商截止时间前不得列入信用中国(https://www.creditchina.gov.cn/)严重失信主体名单、重大税收违法失信主体名单；不得列入中国执行信息公开网(http://zxgk.court.gov.cn/)失信被执行人名单；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9、中小企业声明函：本项目为专门面向中小企业采购项目须根据《政府采购促进中小企业发展管理办法》（财库﹝2020﹞46号）的规定提供《中小企业声明函》。</w:t>
      </w:r>
    </w:p>
    <w:p>
      <w:pPr>
        <w:pStyle w:val="null3"/>
      </w:pPr>
      <w:r>
        <w:rPr>
          <w:rFonts w:ascii="仿宋_GB2312" w:hAnsi="仿宋_GB2312" w:cs="仿宋_GB2312" w:eastAsia="仿宋_GB2312"/>
        </w:rPr>
        <w:t>10、非联合体磋商：供应商提供非联合体磋商的书面声明。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西安市市场监督管理局浐灞国际港分局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西安国际港务区港务大道7号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029-83339325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陕西宏大天恒项目管理有限公司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陕西省西安市灞桥区纺渭路泰尔新市际四楼005室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18091780268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采购包1：486,300.00元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代理服务费收费标准：1、参照国家计委关于印发《招标代理服务收费管理暂行办法》的通知（计价格〔2002〕1980号）和（发改办价格〔2003〕857号）文件收费标准收取。 2、由成交供应商在领取《成交通知书》之前，向采购代理机构一次付清代理服务费。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西安市市场监督管理局浐灞国际港分局</w:t>
      </w:r>
      <w:r>
        <w:rPr>
          <w:rFonts w:ascii="仿宋_GB2312" w:hAnsi="仿宋_GB2312" w:cs="仿宋_GB2312" w:eastAsia="仿宋_GB2312"/>
        </w:rPr>
        <w:t>和</w:t>
      </w:r>
      <w:r>
        <w:rPr>
          <w:rFonts w:ascii="仿宋_GB2312" w:hAnsi="仿宋_GB2312" w:cs="仿宋_GB2312" w:eastAsia="仿宋_GB2312"/>
        </w:rPr>
        <w:t>陕西宏大天恒项目管理有限公司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西安市市场监督管理局浐灞国际港分局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陕西宏大天恒项目管理有限公司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西安市市场监督管理局浐灞国际港分局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陕西宏大天恒项目管理有限公司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按照磋商⽂件、响应⽂件及合同⽂本约定执⾏。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严格按照采购文件及合同约定内容进行验收。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陕西宏大天恒项目管理有限公司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联系人：张工、王工</w:t>
      </w:r>
    </w:p>
    <w:p>
      <w:pPr>
        <w:pStyle w:val="null3"/>
      </w:pPr>
      <w:r>
        <w:rPr>
          <w:rFonts w:ascii="仿宋_GB2312" w:hAnsi="仿宋_GB2312" w:cs="仿宋_GB2312" w:eastAsia="仿宋_GB2312"/>
        </w:rPr>
        <w:t>联系电话：18091780268</w:t>
      </w:r>
    </w:p>
    <w:p>
      <w:pPr>
        <w:pStyle w:val="null3"/>
      </w:pPr>
      <w:r>
        <w:rPr>
          <w:rFonts w:ascii="仿宋_GB2312" w:hAnsi="仿宋_GB2312" w:cs="仿宋_GB2312" w:eastAsia="仿宋_GB2312"/>
        </w:rPr>
        <w:t>地址：西安市灞桥区纺渭路泰尔发现新坐标4楼401室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农贸市场快检工作服务项目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486,300.00</w:t>
      </w:r>
    </w:p>
    <w:p>
      <w:pPr>
        <w:pStyle w:val="null3"/>
      </w:pPr>
      <w:r>
        <w:rPr>
          <w:rFonts w:ascii="仿宋_GB2312" w:hAnsi="仿宋_GB2312" w:cs="仿宋_GB2312" w:eastAsia="仿宋_GB2312"/>
        </w:rPr>
        <w:t>采购包最高限价（元）: 486,300.00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农贸市场快检工作服务项目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486,300.00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标的名称：农贸市场快检工作服务项目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1"/>
                <w:b/>
              </w:rPr>
              <w:t>一、采购要求</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sz w:val="21"/>
                    </w:rPr>
                    <w:t>服务范围</w:t>
                  </w:r>
                </w:p>
              </w:tc>
              <w:tc>
                <w:tcPr>
                  <w:tcW w:type="dxa" w:w="1276"/>
                </w:tcPr>
                <w:p>
                  <w:pPr>
                    <w:pStyle w:val="null3"/>
                  </w:pPr>
                  <w:r>
                    <w:rPr>
                      <w:rFonts w:ascii="仿宋_GB2312" w:hAnsi="仿宋_GB2312" w:cs="仿宋_GB2312" w:eastAsia="仿宋_GB2312"/>
                      <w:sz w:val="21"/>
                    </w:rPr>
                    <w:t>服务内容及要求</w:t>
                  </w:r>
                </w:p>
              </w:tc>
            </w:tr>
            <w:tr>
              <w:tc>
                <w:tcPr>
                  <w:tcW w:type="dxa" w:w="1276"/>
                </w:tcPr>
                <w:p>
                  <w:pPr>
                    <w:pStyle w:val="null3"/>
                  </w:pPr>
                  <w:r>
                    <w:rPr>
                      <w:rFonts w:ascii="仿宋_GB2312" w:hAnsi="仿宋_GB2312" w:cs="仿宋_GB2312" w:eastAsia="仿宋_GB2312"/>
                      <w:sz w:val="21"/>
                    </w:rPr>
                    <w:t>农贸市场快检工作内容</w:t>
                  </w:r>
                </w:p>
              </w:tc>
              <w:tc>
                <w:tcPr>
                  <w:tcW w:type="dxa" w:w="1276"/>
                </w:tcPr>
                <w:p>
                  <w:pPr>
                    <w:pStyle w:val="null3"/>
                  </w:pPr>
                  <w:r>
                    <w:rPr>
                      <w:rFonts w:ascii="仿宋_GB2312" w:hAnsi="仿宋_GB2312" w:cs="仿宋_GB2312" w:eastAsia="仿宋_GB2312"/>
                      <w:sz w:val="21"/>
                    </w:rPr>
                    <w:t>1、根据市场监管部门下达的检测工作，按照农贸市场的规模，每天具体完成对果蔬产品、畜禽产品、水产品等不同食用农产品不少于15批次的快速检测，并结合本市场实际，拟定季度、全年检测计划，并按月均衡推进。</w:t>
                  </w:r>
                </w:p>
                <w:p>
                  <w:pPr>
                    <w:pStyle w:val="null3"/>
                  </w:pPr>
                  <w:r>
                    <w:rPr>
                      <w:rFonts w:ascii="仿宋_GB2312" w:hAnsi="仿宋_GB2312" w:cs="仿宋_GB2312" w:eastAsia="仿宋_GB2312"/>
                      <w:sz w:val="21"/>
                    </w:rPr>
                    <w:t>2、负责保管检测室内仪器设备和物品,确保仪器设备安全。</w:t>
                  </w:r>
                </w:p>
                <w:p>
                  <w:pPr>
                    <w:pStyle w:val="null3"/>
                  </w:pPr>
                  <w:r>
                    <w:rPr>
                      <w:rFonts w:ascii="仿宋_GB2312" w:hAnsi="仿宋_GB2312" w:cs="仿宋_GB2312" w:eastAsia="仿宋_GB2312"/>
                      <w:sz w:val="21"/>
                    </w:rPr>
                    <w:t>3、严格按照食品快速检测规程、规范标准使用食品检测设备和进行食品快速检测。</w:t>
                  </w:r>
                </w:p>
                <w:p>
                  <w:pPr>
                    <w:pStyle w:val="null3"/>
                  </w:pPr>
                  <w:r>
                    <w:rPr>
                      <w:rFonts w:ascii="仿宋_GB2312" w:hAnsi="仿宋_GB2312" w:cs="仿宋_GB2312" w:eastAsia="仿宋_GB2312"/>
                      <w:sz w:val="21"/>
                    </w:rPr>
                    <w:t>4、对检测质量和结果负责，有权拒绝被检单位(个人)的不合理要求，做到公正检测。</w:t>
                  </w:r>
                </w:p>
                <w:p>
                  <w:pPr>
                    <w:pStyle w:val="null3"/>
                  </w:pPr>
                  <w:r>
                    <w:rPr>
                      <w:rFonts w:ascii="仿宋_GB2312" w:hAnsi="仿宋_GB2312" w:cs="仿宋_GB2312" w:eastAsia="仿宋_GB2312"/>
                      <w:sz w:val="21"/>
                    </w:rPr>
                    <w:t>5、做好检测记录，不合格食品需填写《食品快速检测结果通知单》，并送被检测人签字确认。</w:t>
                  </w:r>
                </w:p>
                <w:p>
                  <w:pPr>
                    <w:pStyle w:val="null3"/>
                  </w:pPr>
                  <w:r>
                    <w:rPr>
                      <w:rFonts w:ascii="仿宋_GB2312" w:hAnsi="仿宋_GB2312" w:cs="仿宋_GB2312" w:eastAsia="仿宋_GB2312"/>
                      <w:sz w:val="21"/>
                    </w:rPr>
                    <w:t>6、对检测中涉嫌不合格食品，及时依法封存样品，向市场监管所和市场开办方负责人报告。</w:t>
                  </w:r>
                </w:p>
                <w:p>
                  <w:pPr>
                    <w:pStyle w:val="null3"/>
                  </w:pPr>
                  <w:r>
                    <w:rPr>
                      <w:rFonts w:ascii="仿宋_GB2312" w:hAnsi="仿宋_GB2312" w:cs="仿宋_GB2312" w:eastAsia="仿宋_GB2312"/>
                      <w:sz w:val="21"/>
                    </w:rPr>
                    <w:t>7、每天工作结束后，检测仪器设备应放回原处，检查各种仪器设备的电源是否切断，确保快检室安全。</w:t>
                  </w:r>
                </w:p>
                <w:p>
                  <w:pPr>
                    <w:pStyle w:val="null3"/>
                  </w:pPr>
                  <w:r>
                    <w:rPr>
                      <w:rFonts w:ascii="仿宋_GB2312" w:hAnsi="仿宋_GB2312" w:cs="仿宋_GB2312" w:eastAsia="仿宋_GB2312"/>
                      <w:sz w:val="21"/>
                    </w:rPr>
                    <w:t>8、记录快检情况，每月按时汇总上报本月快检汇总表。</w:t>
                  </w:r>
                </w:p>
                <w:p>
                  <w:pPr>
                    <w:pStyle w:val="null3"/>
                  </w:pPr>
                  <w:r>
                    <w:rPr>
                      <w:rFonts w:ascii="仿宋_GB2312" w:hAnsi="仿宋_GB2312" w:cs="仿宋_GB2312" w:eastAsia="仿宋_GB2312"/>
                      <w:sz w:val="21"/>
                    </w:rPr>
                    <w:t>9、完成领导交办的其它事项。</w:t>
                  </w:r>
                </w:p>
              </w:tc>
            </w:tr>
          </w:tbl>
          <w:p>
            <w:pPr>
              <w:pStyle w:val="null3"/>
            </w:pPr>
            <w:r>
              <w:rPr>
                <w:rFonts w:ascii="仿宋_GB2312" w:hAnsi="仿宋_GB2312" w:cs="仿宋_GB2312" w:eastAsia="仿宋_GB2312"/>
                <w:sz w:val="21"/>
                <w:b/>
              </w:rPr>
              <w:t>二、人员素质要求表</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sz w:val="21"/>
                    </w:rPr>
                    <w:t>岗位类别</w:t>
                  </w:r>
                </w:p>
              </w:tc>
              <w:tc>
                <w:tcPr>
                  <w:tcW w:type="dxa" w:w="1276"/>
                </w:tcPr>
                <w:p>
                  <w:pPr>
                    <w:pStyle w:val="null3"/>
                  </w:pPr>
                  <w:r>
                    <w:rPr>
                      <w:rFonts w:ascii="仿宋_GB2312" w:hAnsi="仿宋_GB2312" w:cs="仿宋_GB2312" w:eastAsia="仿宋_GB2312"/>
                      <w:sz w:val="21"/>
                    </w:rPr>
                    <w:t>素质要求</w:t>
                  </w:r>
                </w:p>
              </w:tc>
            </w:tr>
            <w:tr>
              <w:tc>
                <w:tcPr>
                  <w:tcW w:type="dxa" w:w="1276"/>
                </w:tcPr>
                <w:p>
                  <w:pPr>
                    <w:pStyle w:val="null3"/>
                  </w:pPr>
                  <w:r>
                    <w:rPr>
                      <w:rFonts w:ascii="仿宋_GB2312" w:hAnsi="仿宋_GB2312" w:cs="仿宋_GB2312" w:eastAsia="仿宋_GB2312"/>
                      <w:sz w:val="21"/>
                    </w:rPr>
                    <w:t>农贸市场快检人员</w:t>
                  </w:r>
                </w:p>
              </w:tc>
              <w:tc>
                <w:tcPr>
                  <w:tcW w:type="dxa" w:w="1276"/>
                </w:tcPr>
                <w:p>
                  <w:pPr>
                    <w:pStyle w:val="null3"/>
                  </w:pPr>
                  <w:r>
                    <w:rPr>
                      <w:rFonts w:ascii="仿宋_GB2312" w:hAnsi="仿宋_GB2312" w:cs="仿宋_GB2312" w:eastAsia="仿宋_GB2312"/>
                      <w:sz w:val="21"/>
                    </w:rPr>
                    <w:t>1.普通大专及以上学历，年龄在50周岁以下（不含50岁）。</w:t>
                  </w:r>
                </w:p>
                <w:p>
                  <w:pPr>
                    <w:pStyle w:val="null3"/>
                  </w:pPr>
                  <w:r>
                    <w:rPr>
                      <w:rFonts w:ascii="仿宋_GB2312" w:hAnsi="仿宋_GB2312" w:cs="仿宋_GB2312" w:eastAsia="仿宋_GB2312"/>
                      <w:sz w:val="21"/>
                    </w:rPr>
                    <w:t>2.身体健康。</w:t>
                  </w:r>
                </w:p>
                <w:p>
                  <w:pPr>
                    <w:pStyle w:val="null3"/>
                  </w:pPr>
                  <w:r>
                    <w:rPr>
                      <w:rFonts w:ascii="仿宋_GB2312" w:hAnsi="仿宋_GB2312" w:cs="仿宋_GB2312" w:eastAsia="仿宋_GB2312"/>
                      <w:sz w:val="21"/>
                    </w:rPr>
                    <w:t>3.具有符合职位要求的工作能力，从事过化学分析、食品检验相关工作优先；</w:t>
                  </w:r>
                </w:p>
                <w:p>
                  <w:pPr>
                    <w:pStyle w:val="null3"/>
                  </w:pPr>
                  <w:r>
                    <w:rPr>
                      <w:rFonts w:ascii="仿宋_GB2312" w:hAnsi="仿宋_GB2312" w:cs="仿宋_GB2312" w:eastAsia="仿宋_GB2312"/>
                      <w:sz w:val="21"/>
                    </w:rPr>
                    <w:t>4.政治素质好，无违法违纪不良记录、责任心强。</w:t>
                  </w:r>
                </w:p>
                <w:p>
                  <w:pPr>
                    <w:pStyle w:val="null3"/>
                  </w:pPr>
                  <w:r>
                    <w:rPr>
                      <w:rFonts w:ascii="仿宋_GB2312" w:hAnsi="仿宋_GB2312" w:cs="仿宋_GB2312" w:eastAsia="仿宋_GB2312"/>
                      <w:sz w:val="21"/>
                    </w:rPr>
                    <w:t>5.遵纪守法、品行端正、作风正派，无违法犯罪记录。</w:t>
                  </w:r>
                </w:p>
                <w:p>
                  <w:pPr>
                    <w:pStyle w:val="null3"/>
                  </w:pPr>
                  <w:r>
                    <w:rPr>
                      <w:rFonts w:ascii="仿宋_GB2312" w:hAnsi="仿宋_GB2312" w:cs="仿宋_GB2312" w:eastAsia="仿宋_GB2312"/>
                      <w:sz w:val="21"/>
                    </w:rPr>
                    <w:t>6.熟悉国家相关法律法规，具备一定的组织管理能力和沟通协调能力。</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采购人与成交供应商签订合同时约定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进度款，服务七个月后，达到付款条件起15个工作日内，支付合同总金额的40.0%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进度款，全部服务内容完成后并验收合格后，达到付款条件起15个工作日内，支付合同总金额的20.0%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因本项目引起的有关争议，双方应本着友好协商的原则协商解决，协商解决不成，双方约定向甲方所在地人民法院提起诉讼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领取成交通知书前，须向采购代理机构提供纸质版响应⽂件2份，电⼦且提供的响应⽂件必须与在陕西省政府采购综合管理平台的项⽬电⼦化交易系统中递交的电⼦响应⽂件内容⼀致，纸质版响应⽂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具有独立承担民事责任能力的企业法人或其他组织或自然人，提供营业执照或事业单位法人证书；自然人参与的提供其身份证明。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磋商响应文件截止时间不足一年的可提供成立后任意时段的资产负债表），或其提交投标文件截止时间前三个月内基本存款账户开户银行出具的资信证明及开户许可证或基本账户信息表，或信用担保机构出具的投标担保函。（注：根据财政部下发的《财政部关于注册会计师行业统一监管平台上线运行的通知》和《关于加强审计报告查验工作的通知》，审计报告可通过统一监管平台或手机应用程序查询。审计报告未赋码的，或已赋码但查询无效且供应商不能做出合理解释的，视为审计报告无效。）（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供应商须提供磋商响应截止时间前6个月内任意1个月的社会保险缴纳证明（注：依法不需要缴纳社会保障资金的供应商应提供相关文件证明）。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供应商须提供磋商响应文件截止时间前6个月内任意1个月的缴税证明（注：依法免税或零申报的供应商应提供相关文件证明）。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供应商须提供具有履行本合同所必需的专业技术能力的声明。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法定代表人证明/法定代表人授权委托书</w:t>
            </w:r>
          </w:p>
        </w:tc>
        <w:tc>
          <w:tcPr>
            <w:tcW w:type="dxa" w:w="3322"/>
          </w:tcPr>
          <w:p>
            <w:pPr>
              <w:pStyle w:val="null3"/>
            </w:pPr>
            <w:r>
              <w:rPr>
                <w:rFonts w:ascii="仿宋_GB2312" w:hAnsi="仿宋_GB2312" w:cs="仿宋_GB2312" w:eastAsia="仿宋_GB2312"/>
              </w:rPr>
              <w:t>非法定代表人参加投标时，须提供法定代表人授权委托书、被授权人身份证及授权代表在磋商响应文件递交截止之日前在供应商近3个月内任意一个月的社保证明；法定代表人参加投标时,须提供法人身份证明书及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磋商截止时间前不得列入信用中国(https://www.creditchina.gov.cn/)严重失信主体名单、重大税收违法失信主体名单；不得列入中国执行信息公开网(http://zxgk.court.gov.cn/)失信被执行人名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供应商提供非联合体磋商的书面声明。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商务条款偏离表.pdf 中小企业声明函 残疾人福利性单位声明函 标的清单 报价表 响应函 服务方案.docx 监狱企业的证明文件 服务内容及服务要求应答表.pdf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供应商应提交的相关资格证明材料.docx 商务条款偏离表.pdf 中小企业声明函 残疾人福利性单位声明函 标的清单 报价表 响应函 服务方案.docx 监狱企业的证明文件 服务内容及服务要求应答表.pdf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响应文件的签字、盖章等是否符合采购文件要求</w:t>
            </w:r>
          </w:p>
        </w:tc>
        <w:tc>
          <w:tcPr>
            <w:tcW w:type="dxa" w:w="1661"/>
          </w:tcPr>
          <w:p>
            <w:pPr>
              <w:pStyle w:val="null3"/>
            </w:pPr>
            <w:r>
              <w:rPr>
                <w:rFonts w:ascii="仿宋_GB2312" w:hAnsi="仿宋_GB2312" w:cs="仿宋_GB2312" w:eastAsia="仿宋_GB2312"/>
              </w:rPr>
              <w:t>响应文件封面 供应商应提交的相关资格证明材料.docx 商务条款偏离表.pdf 中小企业声明函 残疾人福利性单位声明函 标的清单 报价表 响应函 服务方案.docx 监狱企业的证明文件 服务内容及服务要求应答表.pdf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响应文件有效期是否满足采购文件要求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商务条款是否满足采购文件要求</w:t>
            </w:r>
          </w:p>
        </w:tc>
        <w:tc>
          <w:tcPr>
            <w:tcW w:type="dxa" w:w="1661"/>
          </w:tcPr>
          <w:p>
            <w:pPr>
              <w:pStyle w:val="null3"/>
            </w:pPr>
            <w:r>
              <w:rPr>
                <w:rFonts w:ascii="仿宋_GB2312" w:hAnsi="仿宋_GB2312" w:cs="仿宋_GB2312" w:eastAsia="仿宋_GB2312"/>
              </w:rPr>
              <w:t>响应文件封面 商务条款偏离表.pdf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未出现采购文件中规定的其他无效响应条款，或法律、法规规定的其他无效响应的情形</w:t>
            </w:r>
          </w:p>
        </w:tc>
        <w:tc>
          <w:tcPr>
            <w:tcW w:type="dxa" w:w="1661"/>
          </w:tcPr>
          <w:p>
            <w:pPr>
              <w:pStyle w:val="null3"/>
            </w:pPr>
            <w:r>
              <w:rPr>
                <w:rFonts w:ascii="仿宋_GB2312" w:hAnsi="仿宋_GB2312" w:cs="仿宋_GB2312" w:eastAsia="仿宋_GB2312"/>
              </w:rPr>
              <w:t>响应文件封面 供应商应提交的相关资格证明材料.docx 商务条款偏离表.pdf 中小企业声明函 残疾人福利性单位声明函 标的清单 报价表 响应函 服务方案.docx 监狱企业的证明文件 服务内容及服务要求应答表.pdf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对本项目服务内容、规模理解透彻，针对本项目制定规范化的服务方案，内容包含： ①整体服务思路； ②组织架构及工作流程实施方案； ③季度、全年分时段检测计划表； ④完整组织架构、每日全流程操作步骤； ⑤提供标准化岗前培训全套方案。 二.评审标准 1.完整性：方案全面，完整覆盖全部服务内容，整体匹配项目需求科学合理，对评审内容中的各项要求有详细描述及说明； 2.可实施性：切合本项目实际情况，实施流程清晰、架构规范； 3.可针对性：方案能够紧扣项目实际情况，内容科学合理。 三.赋分标准 赋分依据：满足以上评审标准完整性得1分，满足可实施性得1分，满足可针对性得1分，上述5项评审内容每项满分3分，最高得分15分。 注：评审内容每缺一项扣3分；有一项内容缺陷扣0.1分。 缺陷是指：内容描述过于简单、条理不清晰、与项目内容不匹配、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质量管控及应急方案</w:t>
            </w:r>
          </w:p>
        </w:tc>
        <w:tc>
          <w:tcPr>
            <w:tcW w:type="dxa" w:w="2492"/>
          </w:tcPr>
          <w:p>
            <w:pPr>
              <w:pStyle w:val="null3"/>
            </w:pPr>
            <w:r>
              <w:rPr>
                <w:rFonts w:ascii="仿宋_GB2312" w:hAnsi="仿宋_GB2312" w:cs="仿宋_GB2312" w:eastAsia="仿宋_GB2312"/>
              </w:rPr>
              <w:t>一.评审内容 针对本项目提供质量管控方案，方案内容包含：不合格食品封存签字、上报、样品留存及各项应急事件处理方案。 二、评审标准 1.完整性：方案全面，完整覆盖全部服务内容，整体匹配项目需求科学合理，对评审内容中的各项要求有详细描述及说明； 2.可实施性：切合本项目实际情况，实施流程清晰； 3.可针对性：方案能够紧扣项目实际情况，内容科学合理。 三、赋分标准 赋分依据：满足以上评审标准完整性得1分，满足可实施性得1分，满足可针对性得1分，上述评审内容满分3分。 注：评审内容每缺一项扣3分；有一项内容缺陷扣0.1分。 缺陷是指：内容描述过于简单、条理不清晰、与项目内容不匹配、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管理制度方案</w:t>
            </w:r>
          </w:p>
        </w:tc>
        <w:tc>
          <w:tcPr>
            <w:tcW w:type="dxa" w:w="2492"/>
          </w:tcPr>
          <w:p>
            <w:pPr>
              <w:pStyle w:val="null3"/>
            </w:pPr>
            <w:r>
              <w:rPr>
                <w:rFonts w:ascii="仿宋_GB2312" w:hAnsi="仿宋_GB2312" w:cs="仿宋_GB2312" w:eastAsia="仿宋_GB2312"/>
              </w:rPr>
              <w:t>一.评审内容 针对供应商提供的管理制度方案，进行评审，评审内容包括： ①样品抽取、检测、留存标准化制度； ②不合格农产品闭环处置制度； ③仪器设备管理制度； ④快检试剂和耗材管理制度 ⑤快检室安全管理制度； ⑥项目人员管理制度。 二.评审标准 1.完整性：方案全面，完整覆盖全部服务内容，整体匹配项目需求科学合理，对评审内容中的各项要求有详细描述及说明； 2.可实施性：切合本项目实际情况，实施流程清晰； 3.可针对性：方案能够紧扣项目实际情况，内容科学合理。 三.赋分标准 赋分依据：满足以上评审标准完整性得1分，满足可实施性得1分，满足可针对性得1分，上述6项评审内容每项满分3分，最高得分18分。 注：评审内容每缺一项扣3分；有一项内容缺陷扣0.1分。 缺陷是指：内容描述过于简单、条理不清晰、与项目内容不匹配、 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人员日常巡检督导机制</w:t>
            </w:r>
          </w:p>
        </w:tc>
        <w:tc>
          <w:tcPr>
            <w:tcW w:type="dxa" w:w="2492"/>
          </w:tcPr>
          <w:p>
            <w:pPr>
              <w:pStyle w:val="null3"/>
            </w:pPr>
            <w:r>
              <w:rPr>
                <w:rFonts w:ascii="仿宋_GB2312" w:hAnsi="仿宋_GB2312" w:cs="仿宋_GB2312" w:eastAsia="仿宋_GB2312"/>
              </w:rPr>
              <w:t>一.评审内容 建立项目督导制度，提供每两个月不少于一次的随机督导检查计划、快检工作核查记录表、问题整改闭环流程、督导报告模板。 二.评审标准 1.督导巡检计划、现场核查台账、问题整改流程、督导报告模板四项材料齐全完整的，得4分； 2.仅简单说明会开展督导，缺少巡检台账、整改闭环机制，的得2分； 3.无任何人员日常巡检督导管理方案的，得0分。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人员储备保障机制</w:t>
            </w:r>
          </w:p>
        </w:tc>
        <w:tc>
          <w:tcPr>
            <w:tcW w:type="dxa" w:w="2492"/>
          </w:tcPr>
          <w:p>
            <w:pPr>
              <w:pStyle w:val="null3"/>
            </w:pPr>
            <w:r>
              <w:rPr>
                <w:rFonts w:ascii="仿宋_GB2312" w:hAnsi="仿宋_GB2312" w:cs="仿宋_GB2312" w:eastAsia="仿宋_GB2312"/>
              </w:rPr>
              <w:t>一.评审内容 建立替补人员储备库，替补人员均满足大专及以上学历、50周岁以下硬性条件，明确替补名单。 二.评审标准 1.储备≥4名符合岗位条件替补人员的，得4分； 2.仅储备2名替补人员的，得2分； 注：2名以下替补人员不得分。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 ①拟派项目负责人（1人）具有本科及以上学历，得2分；其他不得分。 ②从业经验：项目负责人具有类似从业经验（提供2023年6月1日至今的类似项目从业经验证明材料清单或合同中体现项目负责人名称。 (注:供应商提供的负责人项目经验清单应加盖供应商公章。清单需能体现出委托单位名称、项目名称、项目负责人名字,否则不予承认，清单一经发现伪造，供应商自行承担相关后果。)每提供一项计2分，最高得4分；不满足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为本项目配置专职快检人员，提供拟派驻全部快检人员佐证材料：身份证、大专及以上学历证书、有效期内健康证、无违法犯罪记录证明。 二、赋分标准 ①配置5名及以上专职人员的，得12分； ②配置3名-4名专职人员的，得6分； ③配置1名-2名专职人员的，得2分； 注：无专属专职人员配置的不得分。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用工合规保障</w:t>
            </w:r>
          </w:p>
        </w:tc>
        <w:tc>
          <w:tcPr>
            <w:tcW w:type="dxa" w:w="2492"/>
          </w:tcPr>
          <w:p>
            <w:pPr>
              <w:pStyle w:val="null3"/>
            </w:pPr>
            <w:r>
              <w:rPr>
                <w:rFonts w:ascii="仿宋_GB2312" w:hAnsi="仿宋_GB2312" w:cs="仿宋_GB2312" w:eastAsia="仿宋_GB2312"/>
              </w:rPr>
              <w:t>一.评审内容 提供完整用工保障材料：全员社保缴纳、签订劳动合同、出现工伤情况及时进行处理、工资专户管理证明，针对用工合规保障要求提供相关证明资料。 二.评审标准 1.四项证明材料齐全完整的，得10分； 2.仅提供3项用工保障材料的，得5分； 3.用工保障相关材料缺失2项及以上或无相关材料的不得分。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单独提供书面、可落地、具备法律效力的服务承诺，包含：①在岗人数满足最低值守要求；②承诺严格落实培训计划，提高服务团队能力素质；③承诺每月向采购人报送员工工资发放明细，并自觉接受采购人监督；④承诺拟派员工严格遵守采购人的各项管理制度。每提供一项承诺，经磋商小组一致认定真实有效得2分，满分8分，无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2023年8月1日至今的类似业绩（合同签订日期或中标通知书发出日期），每提供1份业绩证明材料得2分，最高得10分。 备注：业绩以合同复印件或中标通知书复印件加盖单位公章作为证明材料。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采用低价优先法计算，即满足磋商文件要求且价格最低的磋商报价为评审基准价，其价格分为满分。报价得分＝（评审基准价/磋商报价）×报价分权值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