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E1E14">
      <w:pPr>
        <w:pStyle w:val="7"/>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b w:val="0"/>
          <w:bCs w:val="0"/>
          <w:sz w:val="24"/>
          <w:szCs w:val="24"/>
          <w:highlight w:val="none"/>
          <w:lang w:eastAsia="zh-CN"/>
        </w:rPr>
      </w:pPr>
      <w:bookmarkStart w:id="0" w:name="_GoBack"/>
      <w:bookmarkEnd w:id="0"/>
    </w:p>
    <w:p w14:paraId="488FAF76">
      <w:pPr>
        <w:pStyle w:val="7"/>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合同条款以最终签订为准</w:t>
      </w:r>
      <w:r>
        <w:rPr>
          <w:rFonts w:hint="eastAsia" w:asciiTheme="minorEastAsia" w:hAnsiTheme="minorEastAsia" w:eastAsiaTheme="minorEastAsia" w:cstheme="minorEastAsia"/>
          <w:b w:val="0"/>
          <w:bCs w:val="0"/>
          <w:sz w:val="24"/>
          <w:szCs w:val="24"/>
          <w:highlight w:val="none"/>
          <w:lang w:eastAsia="zh-CN"/>
        </w:rPr>
        <w:t>）</w:t>
      </w:r>
    </w:p>
    <w:p w14:paraId="071E7329">
      <w:pPr>
        <w:pStyle w:val="7"/>
        <w:bidi w:val="0"/>
        <w:rPr>
          <w:rFonts w:hint="eastAsia"/>
        </w:rPr>
      </w:pPr>
    </w:p>
    <w:p w14:paraId="1DCDC8B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rPr>
          <w:rFonts w:hint="eastAsia" w:asciiTheme="minorEastAsia" w:hAnsiTheme="minorEastAsia" w:eastAsiaTheme="minorEastAsia" w:cstheme="minorEastAsia"/>
          <w:b/>
          <w:bCs/>
          <w:i w:val="0"/>
          <w:iCs w:val="0"/>
          <w:caps w:val="0"/>
          <w:color w:val="333333"/>
          <w:spacing w:val="0"/>
          <w:sz w:val="24"/>
          <w:szCs w:val="24"/>
          <w:shd w:val="clear" w:fill="FFFFFF"/>
        </w:rPr>
      </w:pPr>
    </w:p>
    <w:p w14:paraId="718F18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rPr>
          <w:rFonts w:hint="eastAsia" w:asciiTheme="minorEastAsia" w:hAnsiTheme="minorEastAsia" w:eastAsiaTheme="minorEastAsia" w:cstheme="minorEastAsia"/>
          <w:b/>
          <w:bCs/>
          <w:i w:val="0"/>
          <w:iCs w:val="0"/>
          <w:caps w:val="0"/>
          <w:color w:val="333333"/>
          <w:spacing w:val="0"/>
          <w:sz w:val="24"/>
          <w:szCs w:val="24"/>
          <w:shd w:val="clear" w:fill="FFFFFF"/>
        </w:rPr>
      </w:pPr>
      <w:r>
        <w:rPr>
          <w:rFonts w:hint="eastAsia" w:asciiTheme="minorEastAsia" w:hAnsiTheme="minorEastAsia" w:eastAsiaTheme="minorEastAsia" w:cstheme="minorEastAsia"/>
          <w:b/>
          <w:bCs/>
          <w:i w:val="0"/>
          <w:iCs w:val="0"/>
          <w:caps w:val="0"/>
          <w:color w:val="333333"/>
          <w:spacing w:val="0"/>
          <w:sz w:val="24"/>
          <w:szCs w:val="24"/>
          <w:shd w:val="clear" w:fill="FFFFFF"/>
        </w:rPr>
        <w:t>西安市市场监督管理局浐灞国际港分局</w:t>
      </w:r>
    </w:p>
    <w:p w14:paraId="4288D1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rPr>
          <w:rFonts w:hint="eastAsia" w:asciiTheme="minorEastAsia" w:hAnsiTheme="minorEastAsia" w:eastAsiaTheme="minorEastAsia" w:cstheme="minorEastAsia"/>
          <w:b/>
          <w:bCs/>
          <w:i w:val="0"/>
          <w:iCs w:val="0"/>
          <w:caps w:val="0"/>
          <w:color w:val="333333"/>
          <w:spacing w:val="0"/>
          <w:sz w:val="24"/>
          <w:szCs w:val="24"/>
          <w:shd w:val="clear" w:fill="FFFFFF"/>
          <w:lang w:eastAsia="zh-CN"/>
        </w:rPr>
      </w:pPr>
      <w:r>
        <w:rPr>
          <w:rFonts w:hint="eastAsia" w:asciiTheme="minorEastAsia" w:hAnsiTheme="minorEastAsia" w:eastAsiaTheme="minorEastAsia" w:cstheme="minorEastAsia"/>
          <w:b/>
          <w:bCs/>
          <w:i w:val="0"/>
          <w:iCs w:val="0"/>
          <w:caps w:val="0"/>
          <w:color w:val="333333"/>
          <w:spacing w:val="0"/>
          <w:sz w:val="24"/>
          <w:szCs w:val="24"/>
          <w:shd w:val="clear" w:fill="FFFFFF"/>
          <w:lang w:eastAsia="zh-CN"/>
        </w:rPr>
        <w:t>农贸市场快检工作服务项目</w:t>
      </w:r>
    </w:p>
    <w:p w14:paraId="259BCB81">
      <w:pPr>
        <w:keepNext w:val="0"/>
        <w:keepLines w:val="0"/>
        <w:pageBreakBefore w:val="0"/>
        <w:tabs>
          <w:tab w:val="left" w:pos="5145"/>
        </w:tabs>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b/>
          <w:bCs/>
          <w:sz w:val="24"/>
          <w:szCs w:val="24"/>
          <w:lang w:eastAsia="zh-CN"/>
        </w:rPr>
      </w:pPr>
    </w:p>
    <w:p w14:paraId="74542ED5">
      <w:pPr>
        <w:pStyle w:val="7"/>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b/>
          <w:bCs/>
          <w:sz w:val="24"/>
          <w:szCs w:val="24"/>
        </w:rPr>
      </w:pPr>
    </w:p>
    <w:p w14:paraId="0589596B">
      <w:pPr>
        <w:pStyle w:val="7"/>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sz w:val="24"/>
          <w:szCs w:val="24"/>
        </w:rPr>
      </w:pPr>
    </w:p>
    <w:p w14:paraId="63EABFEF">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35C152CA">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33CE8D26">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0D04B768">
      <w:pPr>
        <w:pStyle w:val="7"/>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合　　同</w:t>
      </w:r>
    </w:p>
    <w:p w14:paraId="6FD0A11A">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6E3EF78C">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438E5E20">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11D803DB">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58FF6797">
      <w:pPr>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2EDAC03D">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09729BFE">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p w14:paraId="59B8B389">
      <w:pPr>
        <w:pStyle w:val="7"/>
        <w:keepNext w:val="0"/>
        <w:keepLines w:val="0"/>
        <w:pageBreakBefore w:val="0"/>
        <w:kinsoku/>
        <w:wordWrap/>
        <w:overflowPunct/>
        <w:topLinePunct w:val="0"/>
        <w:autoSpaceDE/>
        <w:autoSpaceDN/>
        <w:bidi w:val="0"/>
        <w:adjustRightInd/>
        <w:snapToGrid/>
        <w:spacing w:line="360" w:lineRule="auto"/>
        <w:ind w:left="0" w:firstLine="0" w:firstLineChars="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p>
    <w:p w14:paraId="30A50F31">
      <w:pPr>
        <w:pStyle w:val="7"/>
        <w:keepNext w:val="0"/>
        <w:keepLines w:val="0"/>
        <w:pageBreakBefore w:val="0"/>
        <w:kinsoku/>
        <w:wordWrap/>
        <w:overflowPunct/>
        <w:topLinePunct w:val="0"/>
        <w:autoSpaceDE/>
        <w:autoSpaceDN/>
        <w:bidi w:val="0"/>
        <w:adjustRightInd/>
        <w:snapToGrid/>
        <w:spacing w:line="360" w:lineRule="auto"/>
        <w:ind w:left="0" w:firstLine="0" w:firstLineChars="0"/>
        <w:jc w:val="both"/>
        <w:textAlignment w:val="auto"/>
        <w:rPr>
          <w:rFonts w:hint="eastAsia" w:asciiTheme="minorEastAsia" w:hAnsiTheme="minorEastAsia" w:eastAsiaTheme="minorEastAsia" w:cstheme="minorEastAsia"/>
          <w:sz w:val="24"/>
          <w:szCs w:val="24"/>
        </w:rPr>
      </w:pPr>
    </w:p>
    <w:p w14:paraId="5A1DA416">
      <w:pPr>
        <w:pStyle w:val="7"/>
        <w:keepNext w:val="0"/>
        <w:keepLines w:val="0"/>
        <w:pageBreakBefore w:val="0"/>
        <w:kinsoku/>
        <w:wordWrap/>
        <w:overflowPunct/>
        <w:topLinePunct w:val="0"/>
        <w:autoSpaceDE/>
        <w:autoSpaceDN/>
        <w:bidi w:val="0"/>
        <w:adjustRightInd/>
        <w:snapToGrid/>
        <w:spacing w:line="360" w:lineRule="auto"/>
        <w:ind w:left="0" w:firstLine="1440" w:firstLineChars="6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　　方：</w:t>
      </w:r>
      <w:r>
        <w:rPr>
          <w:rFonts w:hint="eastAsia" w:ascii="宋体" w:hAnsi="宋体" w:cs="宋体"/>
          <w:color w:val="000000"/>
          <w:sz w:val="24"/>
          <w:szCs w:val="24"/>
          <w:u w:val="single"/>
          <w:lang w:val="en-US" w:eastAsia="zh-CN"/>
        </w:rPr>
        <w:t xml:space="preserve">                        </w:t>
      </w:r>
    </w:p>
    <w:p w14:paraId="4ED78867">
      <w:pPr>
        <w:pStyle w:val="7"/>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5CA955CA">
      <w:pPr>
        <w:pStyle w:val="7"/>
        <w:keepNext w:val="0"/>
        <w:keepLines w:val="0"/>
        <w:pageBreakBefore w:val="0"/>
        <w:kinsoku/>
        <w:wordWrap/>
        <w:overflowPunct/>
        <w:topLinePunct w:val="0"/>
        <w:autoSpaceDE/>
        <w:autoSpaceDN/>
        <w:bidi w:val="0"/>
        <w:adjustRightInd/>
        <w:snapToGrid/>
        <w:spacing w:line="360" w:lineRule="auto"/>
        <w:ind w:left="0" w:firstLine="1440" w:firstLineChars="600"/>
        <w:jc w:val="both"/>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乙　　方：</w:t>
      </w:r>
      <w:r>
        <w:rPr>
          <w:rFonts w:hint="eastAsia" w:ascii="宋体" w:hAnsi="宋体" w:cs="宋体"/>
          <w:color w:val="000000"/>
          <w:sz w:val="24"/>
          <w:szCs w:val="24"/>
          <w:u w:val="single"/>
          <w:lang w:val="en-US" w:eastAsia="zh-CN"/>
        </w:rPr>
        <w:t xml:space="preserve">                        </w:t>
      </w:r>
    </w:p>
    <w:p w14:paraId="74A3C55F">
      <w:pPr>
        <w:pStyle w:val="7"/>
        <w:keepNext w:val="0"/>
        <w:keepLines w:val="0"/>
        <w:pageBreakBefore w:val="0"/>
        <w:kinsoku/>
        <w:wordWrap/>
        <w:overflowPunct/>
        <w:topLinePunct w:val="0"/>
        <w:autoSpaceDE/>
        <w:autoSpaceDN/>
        <w:bidi w:val="0"/>
        <w:adjustRightInd/>
        <w:snapToGrid/>
        <w:spacing w:line="360" w:lineRule="auto"/>
        <w:ind w:left="0" w:firstLine="0" w:firstLineChars="0"/>
        <w:jc w:val="both"/>
        <w:textAlignment w:val="auto"/>
        <w:rPr>
          <w:rFonts w:hint="eastAsia" w:asciiTheme="minorEastAsia" w:hAnsiTheme="minorEastAsia" w:eastAsiaTheme="minorEastAsia" w:cstheme="minorEastAsia"/>
          <w:sz w:val="24"/>
          <w:szCs w:val="24"/>
        </w:rPr>
      </w:pPr>
    </w:p>
    <w:p w14:paraId="07595F94">
      <w:pPr>
        <w:pStyle w:val="7"/>
        <w:keepNext w:val="0"/>
        <w:keepLines w:val="0"/>
        <w:pageBreakBefore w:val="0"/>
        <w:kinsoku/>
        <w:wordWrap/>
        <w:overflowPunct/>
        <w:topLinePunct w:val="0"/>
        <w:autoSpaceDE/>
        <w:autoSpaceDN/>
        <w:bidi w:val="0"/>
        <w:adjustRightInd/>
        <w:snapToGrid/>
        <w:spacing w:line="360" w:lineRule="auto"/>
        <w:ind w:left="0" w:firstLine="1440" w:firstLineChars="6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r>
        <w:rPr>
          <w:rFonts w:hint="eastAsia" w:ascii="宋体" w:hAnsi="宋体" w:cs="宋体"/>
          <w:color w:val="000000"/>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宋体" w:hAnsi="宋体" w:cs="宋体"/>
          <w:color w:val="000000"/>
          <w:sz w:val="24"/>
          <w:szCs w:val="24"/>
          <w:u w:val="single"/>
          <w:lang w:val="en-US" w:eastAsia="zh-CN"/>
        </w:rPr>
        <w:t xml:space="preserve">      </w:t>
      </w:r>
      <w:r>
        <w:rPr>
          <w:rFonts w:hint="eastAsia" w:asciiTheme="minorEastAsia" w:hAnsiTheme="minorEastAsia" w:eastAsiaTheme="minorEastAsia" w:cstheme="minorEastAsia"/>
          <w:sz w:val="24"/>
          <w:szCs w:val="24"/>
        </w:rPr>
        <w:t>月</w:t>
      </w:r>
      <w:r>
        <w:rPr>
          <w:rFonts w:hint="eastAsia" w:ascii="宋体" w:hAnsi="宋体" w:cs="宋体"/>
          <w:color w:val="000000"/>
          <w:sz w:val="24"/>
          <w:szCs w:val="24"/>
          <w:u w:val="single"/>
          <w:lang w:val="en-US" w:eastAsia="zh-CN"/>
        </w:rPr>
        <w:t xml:space="preserve">      </w:t>
      </w:r>
      <w:r>
        <w:rPr>
          <w:rFonts w:hint="eastAsia" w:asciiTheme="minorEastAsia" w:hAnsiTheme="minorEastAsia" w:eastAsiaTheme="minorEastAsia" w:cstheme="minorEastAsia"/>
          <w:sz w:val="24"/>
          <w:szCs w:val="24"/>
        </w:rPr>
        <w:t>日</w:t>
      </w:r>
    </w:p>
    <w:p w14:paraId="39B70694">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733FCD37">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合同编号：</w:t>
      </w:r>
    </w:p>
    <w:tbl>
      <w:tblPr>
        <w:tblStyle w:val="13"/>
        <w:tblW w:w="83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1"/>
        <w:gridCol w:w="1634"/>
        <w:gridCol w:w="1183"/>
        <w:gridCol w:w="2313"/>
        <w:gridCol w:w="2177"/>
      </w:tblGrid>
      <w:tr w14:paraId="4EE4B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jc w:val="center"/>
        </w:trPr>
        <w:tc>
          <w:tcPr>
            <w:tcW w:w="1051" w:type="dxa"/>
            <w:vMerge w:val="restart"/>
            <w:tcBorders>
              <w:bottom w:val="nil"/>
            </w:tcBorders>
            <w:vAlign w:val="center"/>
          </w:tcPr>
          <w:p w14:paraId="6DE41101">
            <w:pPr>
              <w:pStyle w:val="14"/>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4"/>
                <w:sz w:val="24"/>
                <w:szCs w:val="24"/>
              </w:rPr>
              <w:t>甲  方</w:t>
            </w:r>
          </w:p>
        </w:tc>
        <w:tc>
          <w:tcPr>
            <w:tcW w:w="1634" w:type="dxa"/>
            <w:vAlign w:val="top"/>
          </w:tcPr>
          <w:p w14:paraId="417D958F">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发包单位</w:t>
            </w:r>
          </w:p>
        </w:tc>
        <w:tc>
          <w:tcPr>
            <w:tcW w:w="5673" w:type="dxa"/>
            <w:gridSpan w:val="3"/>
            <w:vAlign w:val="top"/>
          </w:tcPr>
          <w:p w14:paraId="0F78AEEA">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r>
      <w:tr w14:paraId="71AF51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jc w:val="center"/>
        </w:trPr>
        <w:tc>
          <w:tcPr>
            <w:tcW w:w="1051" w:type="dxa"/>
            <w:vMerge w:val="continue"/>
            <w:tcBorders>
              <w:top w:val="nil"/>
              <w:bottom w:val="nil"/>
            </w:tcBorders>
            <w:vAlign w:val="center"/>
          </w:tcPr>
          <w:p w14:paraId="2F34AE39">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sz w:val="24"/>
                <w:szCs w:val="24"/>
              </w:rPr>
            </w:pPr>
          </w:p>
        </w:tc>
        <w:tc>
          <w:tcPr>
            <w:tcW w:w="1634" w:type="dxa"/>
            <w:vAlign w:val="top"/>
          </w:tcPr>
          <w:p w14:paraId="06A4D1A5">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单位地址</w:t>
            </w:r>
          </w:p>
        </w:tc>
        <w:tc>
          <w:tcPr>
            <w:tcW w:w="5673" w:type="dxa"/>
            <w:gridSpan w:val="3"/>
            <w:vAlign w:val="top"/>
          </w:tcPr>
          <w:p w14:paraId="79DF92B5">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r>
      <w:tr w14:paraId="216D3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jc w:val="center"/>
        </w:trPr>
        <w:tc>
          <w:tcPr>
            <w:tcW w:w="1051" w:type="dxa"/>
            <w:vMerge w:val="continue"/>
            <w:tcBorders>
              <w:top w:val="nil"/>
            </w:tcBorders>
            <w:vAlign w:val="center"/>
          </w:tcPr>
          <w:p w14:paraId="12BF7980">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sz w:val="24"/>
                <w:szCs w:val="24"/>
              </w:rPr>
            </w:pPr>
          </w:p>
        </w:tc>
        <w:tc>
          <w:tcPr>
            <w:tcW w:w="1634" w:type="dxa"/>
            <w:vAlign w:val="top"/>
          </w:tcPr>
          <w:p w14:paraId="25840E88">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法定代表人</w:t>
            </w:r>
          </w:p>
        </w:tc>
        <w:tc>
          <w:tcPr>
            <w:tcW w:w="1183" w:type="dxa"/>
            <w:vAlign w:val="top"/>
          </w:tcPr>
          <w:p w14:paraId="3F77C245">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c>
          <w:tcPr>
            <w:tcW w:w="2313" w:type="dxa"/>
            <w:vAlign w:val="top"/>
          </w:tcPr>
          <w:p w14:paraId="0FF0101A">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统一社会信用代码</w:t>
            </w:r>
          </w:p>
        </w:tc>
        <w:tc>
          <w:tcPr>
            <w:tcW w:w="2177" w:type="dxa"/>
            <w:vAlign w:val="top"/>
          </w:tcPr>
          <w:p w14:paraId="0EB66426">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r>
      <w:tr w14:paraId="49C9C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jc w:val="center"/>
        </w:trPr>
        <w:tc>
          <w:tcPr>
            <w:tcW w:w="1051" w:type="dxa"/>
            <w:vMerge w:val="restart"/>
            <w:tcBorders>
              <w:bottom w:val="nil"/>
            </w:tcBorders>
            <w:vAlign w:val="center"/>
          </w:tcPr>
          <w:p w14:paraId="1F3BC237">
            <w:pPr>
              <w:pStyle w:val="14"/>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乙</w:t>
            </w:r>
            <w:r>
              <w:rPr>
                <w:rFonts w:hint="eastAsia" w:asciiTheme="minorEastAsia" w:hAnsiTheme="minorEastAsia" w:eastAsiaTheme="minorEastAsia" w:cstheme="minorEastAsia"/>
                <w:spacing w:val="81"/>
                <w:sz w:val="24"/>
                <w:szCs w:val="24"/>
              </w:rPr>
              <w:t xml:space="preserve"> </w:t>
            </w:r>
            <w:r>
              <w:rPr>
                <w:rFonts w:hint="eastAsia" w:asciiTheme="minorEastAsia" w:hAnsiTheme="minorEastAsia" w:eastAsiaTheme="minorEastAsia" w:cstheme="minorEastAsia"/>
                <w:spacing w:val="-15"/>
                <w:sz w:val="24"/>
                <w:szCs w:val="24"/>
              </w:rPr>
              <w:t>方</w:t>
            </w:r>
          </w:p>
        </w:tc>
        <w:tc>
          <w:tcPr>
            <w:tcW w:w="1634" w:type="dxa"/>
            <w:vAlign w:val="top"/>
          </w:tcPr>
          <w:p w14:paraId="1845CBFD">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承包单位</w:t>
            </w:r>
          </w:p>
        </w:tc>
        <w:tc>
          <w:tcPr>
            <w:tcW w:w="5673" w:type="dxa"/>
            <w:gridSpan w:val="3"/>
            <w:vAlign w:val="top"/>
          </w:tcPr>
          <w:p w14:paraId="67D2910B">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r>
      <w:tr w14:paraId="14881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jc w:val="center"/>
        </w:trPr>
        <w:tc>
          <w:tcPr>
            <w:tcW w:w="1051" w:type="dxa"/>
            <w:vMerge w:val="continue"/>
            <w:tcBorders>
              <w:top w:val="nil"/>
              <w:bottom w:val="nil"/>
            </w:tcBorders>
            <w:vAlign w:val="top"/>
          </w:tcPr>
          <w:p w14:paraId="361A0699">
            <w:pPr>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c>
          <w:tcPr>
            <w:tcW w:w="1634" w:type="dxa"/>
            <w:vAlign w:val="top"/>
          </w:tcPr>
          <w:p w14:paraId="51692991">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营业地址</w:t>
            </w:r>
          </w:p>
        </w:tc>
        <w:tc>
          <w:tcPr>
            <w:tcW w:w="5673" w:type="dxa"/>
            <w:gridSpan w:val="3"/>
            <w:vAlign w:val="top"/>
          </w:tcPr>
          <w:p w14:paraId="1EF66058">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r>
      <w:tr w14:paraId="18A33D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jc w:val="center"/>
        </w:trPr>
        <w:tc>
          <w:tcPr>
            <w:tcW w:w="1051" w:type="dxa"/>
            <w:vMerge w:val="continue"/>
            <w:tcBorders>
              <w:top w:val="nil"/>
            </w:tcBorders>
            <w:vAlign w:val="top"/>
          </w:tcPr>
          <w:p w14:paraId="7D747D0E">
            <w:pPr>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c>
          <w:tcPr>
            <w:tcW w:w="1634" w:type="dxa"/>
            <w:vAlign w:val="top"/>
          </w:tcPr>
          <w:p w14:paraId="599D2307">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法定代表人</w:t>
            </w:r>
          </w:p>
        </w:tc>
        <w:tc>
          <w:tcPr>
            <w:tcW w:w="1183" w:type="dxa"/>
            <w:vAlign w:val="top"/>
          </w:tcPr>
          <w:p w14:paraId="2D13C521">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c>
          <w:tcPr>
            <w:tcW w:w="2313" w:type="dxa"/>
            <w:vAlign w:val="top"/>
          </w:tcPr>
          <w:p w14:paraId="59BE74FF">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统一社会信用代码</w:t>
            </w:r>
          </w:p>
        </w:tc>
        <w:tc>
          <w:tcPr>
            <w:tcW w:w="2177" w:type="dxa"/>
            <w:vAlign w:val="top"/>
          </w:tcPr>
          <w:p w14:paraId="07C37859">
            <w:pPr>
              <w:pStyle w:val="14"/>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sz w:val="24"/>
                <w:szCs w:val="24"/>
              </w:rPr>
            </w:pPr>
          </w:p>
        </w:tc>
      </w:tr>
    </w:tbl>
    <w:p w14:paraId="5FED25B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根据《中华人民共和国民法典》《中华人民共和国政府采购法》等与项目行业有关法律、法规的 规定，甲、乙双方本着诚信及平等互利的原则，经过充分协商，就乙方承包甲方《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项目合同》的相关事宜达成本协议</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以下简称“本协议”</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供双方共同遵守。</w:t>
      </w:r>
    </w:p>
    <w:p w14:paraId="291922AC">
      <w:pPr>
        <w:keepNext w:val="0"/>
        <w:keepLines w:val="0"/>
        <w:pageBreakBefore w:val="0"/>
        <w:kinsoku/>
        <w:wordWrap/>
        <w:overflowPunct/>
        <w:topLinePunct w:val="0"/>
        <w:autoSpaceDE/>
        <w:autoSpaceDN/>
        <w:bidi w:val="0"/>
        <w:adjustRightInd/>
        <w:snapToGrid/>
        <w:spacing w:line="360" w:lineRule="auto"/>
        <w:ind w:left="0" w:firstLine="0" w:firstLineChars="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第一条</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定义</w:t>
      </w:r>
    </w:p>
    <w:p w14:paraId="2640728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外包服务：指根据中华人民共和国有关法律与本协议的规定以及甲方的委托，乙方提供优质有偿的外包服务，具体参照本协议；</w:t>
      </w:r>
    </w:p>
    <w:p w14:paraId="308F5FE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保密信息：指甲、乙双方因本协议的签订或履行而获得的对方商业或技术信息和数据，包括但不限于双方的经营计划和经营状况、业务往来文件资料、商业操作方式、业务经办流程、收费标准和财务数 据等，无论这些信息或数据采用何种媒介作为载体；</w:t>
      </w:r>
    </w:p>
    <w:p w14:paraId="7C571AF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不可抗力：指甲、乙双方无法预见、无法预防、无法避免和无法控制的事件，例如但不限于地震、台 风、水灾、火灾、传染病或其他自然灾害，爆炸、骚乱、战争或类似战争的情况、暴动。</w:t>
      </w:r>
    </w:p>
    <w:p w14:paraId="38110AA4">
      <w:pPr>
        <w:keepNext w:val="0"/>
        <w:keepLines w:val="0"/>
        <w:pageBreakBefore w:val="0"/>
        <w:kinsoku/>
        <w:wordWrap/>
        <w:overflowPunct/>
        <w:topLinePunct w:val="0"/>
        <w:autoSpaceDE/>
        <w:autoSpaceDN/>
        <w:bidi w:val="0"/>
        <w:adjustRightInd/>
        <w:snapToGrid/>
        <w:spacing w:line="360" w:lineRule="auto"/>
        <w:ind w:left="0" w:firstLine="0" w:firstLineChars="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第二条 合作申明</w:t>
      </w:r>
    </w:p>
    <w:p w14:paraId="751A347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甲方为发包单位</w:t>
      </w:r>
    </w:p>
    <w:p w14:paraId="4CC9C6D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根据自身经营管理需要，委托乙方提供工作外包服务，是一种业务运营合作模式；严格遵守相关法 律法规，合法合规使用服务外包业务，在农贸市场快检业务工作中与乙方服务外包人员不存在劳动、 劳务及其他事实劳动关系。</w:t>
      </w:r>
    </w:p>
    <w:p w14:paraId="3525813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乙方为承包单位</w:t>
      </w:r>
    </w:p>
    <w:p w14:paraId="7B8EE54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2.1根据甲方的需求，基于丰富的服务能力和管理经验，承揽甲方的工作外包服务；</w:t>
      </w:r>
    </w:p>
    <w:p w14:paraId="6BE3DB2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 按照</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 xml:space="preserve"> 竞争性磋商文件，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以下简称“《磋商文件》”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要求在参照甲方的管理、服务体系的前提下，承揽的甲方工作；</w:t>
      </w:r>
    </w:p>
    <w:p w14:paraId="3FB909C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2.3乙方与选派工作员工直接建立劳动关系或其他法定用工关系，并对承揽工作的服务外包人员进行日常工作管理，履行法定义务、承担法定责任。</w:t>
      </w:r>
    </w:p>
    <w:p w14:paraId="298EBC43">
      <w:pPr>
        <w:keepNext w:val="0"/>
        <w:keepLines w:val="0"/>
        <w:pageBreakBefore w:val="0"/>
        <w:kinsoku/>
        <w:wordWrap/>
        <w:overflowPunct/>
        <w:topLinePunct w:val="0"/>
        <w:autoSpaceDE/>
        <w:autoSpaceDN/>
        <w:bidi w:val="0"/>
        <w:adjustRightInd/>
        <w:snapToGrid/>
        <w:spacing w:line="360" w:lineRule="auto"/>
        <w:ind w:left="0" w:firstLine="0" w:firstLineChars="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第三条 基本条款</w:t>
      </w:r>
    </w:p>
    <w:p w14:paraId="38A18E3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项目内容</w:t>
      </w:r>
    </w:p>
    <w:p w14:paraId="63E241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1.1项目名称：</w:t>
      </w:r>
      <w:r>
        <w:rPr>
          <w:rFonts w:hint="eastAsia" w:asciiTheme="minorEastAsia" w:hAnsiTheme="minorEastAsia" w:eastAsiaTheme="minorEastAsia" w:cstheme="minorEastAsia"/>
          <w:sz w:val="24"/>
          <w:szCs w:val="24"/>
          <w:u w:val="single"/>
          <w:lang w:val="en-US" w:eastAsia="zh-CN"/>
        </w:rPr>
        <w:t xml:space="preserve">              </w:t>
      </w:r>
    </w:p>
    <w:p w14:paraId="1ABB509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1.2服务内容及要求</w:t>
      </w:r>
    </w:p>
    <w:p w14:paraId="2791D5E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1.2.1完成市场监管部门下达的检测任务及其他相关业务工作。</w:t>
      </w:r>
    </w:p>
    <w:p w14:paraId="3964A01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1.2.2具体服务内容：负责在完成市场监管部门下达检测工作任务的同时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结合市场实际</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拟定季度、全年检测计划，并按月均衡推进。负责保管检测室内仪器设备和物品</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确保仪器设备安全。严格按照食品快速检测规程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规范标准使用食品检测设备和进行食品快速检测。对检测质量和结果负责</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有权拒绝被检单位和个人的不合理要求，做到公正检测。做好检测记录</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不合格食品需填写《食品快速检测结果通知书》</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并送被检测人签字确认。对检测中涉嫌不合格食品</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及时依法封存样品</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向市场监管所和市场开办方负责人报告。检测仪器设备电源是否切断</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确保快检室安全。记录快检情况，每月按时汇总上报本月快检汇总表。</w:t>
      </w:r>
    </w:p>
    <w:p w14:paraId="443D6B9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1.2.3服务检测标准：食用农产品经营主体小于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户，每日不少于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批次；经营主体</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户到</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户，每日不少于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批次；经营主体</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户以上，每日不少于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批次。并及时将快检结果通过市场公 示栏、电子屏幕等方式进行公示，保障消费者知情权，接受社会监督。</w:t>
      </w:r>
    </w:p>
    <w:p w14:paraId="6D886F3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1.3甲方对于超出服务项目内容的工作安排，应以书面形式告知乙方，征得乙方同意后，方可安排乙方服务外包人员开展工作。</w:t>
      </w:r>
    </w:p>
    <w:p w14:paraId="257C76A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1.4工作标准：乙方服务外包人员应自觉遵守法律法规、遵守相关的工作岗位要求和规章制度。</w:t>
      </w:r>
    </w:p>
    <w:p w14:paraId="7DFD5DF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1.5服务地址：</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eastAsia="zh-CN"/>
        </w:rPr>
        <w:t>。</w:t>
      </w:r>
    </w:p>
    <w:p w14:paraId="7D4C8791">
      <w:pPr>
        <w:keepNext w:val="0"/>
        <w:keepLines w:val="0"/>
        <w:pageBreakBefore w:val="0"/>
        <w:kinsoku/>
        <w:wordWrap/>
        <w:overflowPunct/>
        <w:topLinePunct w:val="0"/>
        <w:autoSpaceDE/>
        <w:autoSpaceDN/>
        <w:bidi w:val="0"/>
        <w:adjustRightInd/>
        <w:snapToGrid/>
        <w:spacing w:line="360" w:lineRule="auto"/>
        <w:ind w:left="0" w:firstLine="0" w:firstLineChars="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第四条甲方权利、义务</w:t>
      </w:r>
    </w:p>
    <w:p w14:paraId="13A36C5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甲方权利</w:t>
      </w:r>
    </w:p>
    <w:p w14:paraId="63BA67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1.1甲方有权对合同规定范围内乙方的服务行为进行监督和检查，拥有监管权。</w:t>
      </w:r>
    </w:p>
    <w:p w14:paraId="4DA39E4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1.2甲方有权对甲方认为不合理的部分有权下达整改通知书，并要求乙方限期整改。</w:t>
      </w:r>
    </w:p>
    <w:p w14:paraId="61EBB5B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1.3甲方有权依据双方签订的考评办法对乙方提供的服务进行定期考评。有权对工作考核量不合格，向乙方提出调整和整改要求，乙方应积极予以配合。</w:t>
      </w:r>
    </w:p>
    <w:p w14:paraId="78B6008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甲方义务</w:t>
      </w:r>
    </w:p>
    <w:p w14:paraId="449EF43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59264" behindDoc="0" locked="0" layoutInCell="1" allowOverlap="1">
                <wp:simplePos x="0" y="0"/>
                <wp:positionH relativeFrom="column">
                  <wp:posOffset>6730365</wp:posOffset>
                </wp:positionH>
                <wp:positionV relativeFrom="paragraph">
                  <wp:posOffset>250825</wp:posOffset>
                </wp:positionV>
                <wp:extent cx="78105" cy="971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78105" cy="97155"/>
                        </a:xfrm>
                        <a:prstGeom prst="rect">
                          <a:avLst/>
                        </a:prstGeom>
                        <a:noFill/>
                        <a:ln>
                          <a:noFill/>
                        </a:ln>
                      </wps:spPr>
                      <wps:txbx>
                        <w:txbxContent>
                          <w:p w14:paraId="22E1BEB4">
                            <w:pPr>
                              <w:spacing w:before="19" w:line="198" w:lineRule="auto"/>
                              <w:ind w:right="2"/>
                              <w:jc w:val="right"/>
                              <w:rPr>
                                <w:rFonts w:ascii="STXingkai" w:hAnsi="STXingkai" w:eastAsia="STXingkai" w:cs="STXingkai"/>
                                <w:sz w:val="10"/>
                                <w:szCs w:val="10"/>
                              </w:rPr>
                            </w:pPr>
                            <w:r>
                              <w:rPr>
                                <w:rFonts w:ascii="STXingkai" w:hAnsi="STXingkai" w:eastAsia="STXingkai" w:cs="STXingkai"/>
                                <w:color w:val="FF1000"/>
                                <w:sz w:val="10"/>
                                <w:szCs w:val="10"/>
                              </w:rPr>
                              <w:t>品</w:t>
                            </w:r>
                          </w:p>
                        </w:txbxContent>
                      </wps:txbx>
                      <wps:bodyPr lIns="0" tIns="0" rIns="0" bIns="0" upright="1"/>
                    </wps:wsp>
                  </a:graphicData>
                </a:graphic>
              </wp:anchor>
            </w:drawing>
          </mc:Choice>
          <mc:Fallback>
            <w:pict>
              <v:shape id="_x0000_s1026" o:spid="_x0000_s1026" o:spt="202" type="#_x0000_t202" style="position:absolute;left:0pt;margin-left:529.95pt;margin-top:19.75pt;height:7.65pt;width:6.15pt;z-index:251659264;mso-width-relative:page;mso-height-relative:page;" filled="f" stroked="f" coordsize="21600,21600" o:gfxdata="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Cay1PaAAAACwEAAA8AAAAAAAAAAQAgAAAAIgAAAGRycy9kb3ducmV2LnhtbFBLAQIU&#10;ABQAAAAIAIdO4kBBDcsyuAEAAG8DAAAOAAAAAAAAAAEAIAAAACkBAABkcnMvZTJvRG9jLnhtbFBL&#10;BQYAAAAABgAGAFkBAABTBQAAAAA=&#10;">
                <v:fill on="f" focussize="0,0"/>
                <v:stroke on="f"/>
                <v:imagedata o:title=""/>
                <o:lock v:ext="edit" aspectratio="f"/>
                <v:textbox inset="0mm,0mm,0mm,0mm">
                  <w:txbxContent>
                    <w:p w14:paraId="22E1BEB4">
                      <w:pPr>
                        <w:spacing w:before="19" w:line="198" w:lineRule="auto"/>
                        <w:ind w:right="2"/>
                        <w:jc w:val="right"/>
                        <w:rPr>
                          <w:rFonts w:ascii="STXingkai" w:hAnsi="STXingkai" w:eastAsia="STXingkai" w:cs="STXingkai"/>
                          <w:sz w:val="10"/>
                          <w:szCs w:val="10"/>
                        </w:rPr>
                      </w:pPr>
                      <w:r>
                        <w:rPr>
                          <w:rFonts w:ascii="STXingkai" w:hAnsi="STXingkai" w:eastAsia="STXingkai" w:cs="STXingkai"/>
                          <w:color w:val="FF1000"/>
                          <w:sz w:val="10"/>
                          <w:szCs w:val="10"/>
                        </w:rPr>
                        <w:t>品</w:t>
                      </w:r>
                    </w:p>
                  </w:txbxContent>
                </v:textbox>
              </v:shape>
            </w:pict>
          </mc:Fallback>
        </mc:AlternateContent>
      </w:r>
      <w:r>
        <w:rPr>
          <w:rFonts w:hint="eastAsia" w:asciiTheme="minorEastAsia" w:hAnsiTheme="minorEastAsia" w:eastAsiaTheme="minorEastAsia" w:cstheme="minorEastAsia"/>
          <w:sz w:val="24"/>
          <w:szCs w:val="24"/>
        </w:rPr>
        <w:t>2.1甲方应按照合同约定按时按量支付乙方服务外包费用。</w:t>
      </w:r>
    </w:p>
    <w:p w14:paraId="0256C43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2.2甲方有义务明确、清晰、合理的要求乙方完成外包服务事项，并无偿提供乙方或乙方服务外包人员为完成外包项目运作所需的环境设施(包括工作场所、必要的工作工具等。)</w:t>
      </w:r>
    </w:p>
    <w:p w14:paraId="5D9E69C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2.3若有形势变更或其他特殊情况，需要暂时调整已有的外包工作安排的，甲方有义务提前一周以书面形式告知乙方，便于乙方进行妥善的人力和流程安排，并另行协商工作计划。</w:t>
      </w:r>
    </w:p>
    <w:p w14:paraId="738E36F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2.4甲方应协助完成外包服务所需的工作工具等环境设施的日常维护，出现异常时及时给予补充或指导。</w:t>
      </w:r>
    </w:p>
    <w:p w14:paraId="3EC1FB0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2.5若甲方涉及乙方服务项目的相关规章制度或服务内容，在服务期内有变更或调整的，应当及时以书面形式告知乙方，便于乙方及时分析、并参考要求执行。</w:t>
      </w:r>
    </w:p>
    <w:p w14:paraId="3F6A6C3D">
      <w:pPr>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第五条 乙方权利、义务</w:t>
      </w:r>
    </w:p>
    <w:p w14:paraId="6AFE312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乙方权利</w:t>
      </w:r>
    </w:p>
    <w:p w14:paraId="76E6E6F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1.1乙方有权按照本协议约定向甲方收取服务外包费用。</w:t>
      </w:r>
    </w:p>
    <w:p w14:paraId="53EA797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1.2有权参考甲方书面告知的相关规章制度、服务规范和劳动纪律，结合项目管理的日常需要，制订合理且不低于甲方规章制度标准的规章制度，并以此约束服务人员。</w:t>
      </w:r>
    </w:p>
    <w:p w14:paraId="4C629AC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1.3乙方有权根据国家法律法规，对甲方制定的规章制度、为服务人员提供的劳动条件和劳动保护等进行监督并提出合理建议。</w:t>
      </w:r>
    </w:p>
    <w:p w14:paraId="3D8B2D4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1.4有权直接管理乙方的服务人员，要求服务人员遵守法律法规、规章制度、服务规范和劳动纪律，包括但不限于业务流程、操作规范、监督机制和风险管控机制，甲方可以监督。</w:t>
      </w:r>
    </w:p>
    <w:p w14:paraId="518D6C8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1.5有权对服务事项行使必要的管理权，该管理权的行使不得损害甲方的商业利益，且不得违反甲方对本协议服务事务的合理要求，确保甲方的合法利益得到保护。</w:t>
      </w:r>
    </w:p>
    <w:p w14:paraId="05EC5B7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1.6乙方有权保护服务人员的合法利益，甲方未经过乙方同意，擅自调整乙方服务人员参加超出服 务项目范围的工作，而导致乙方或乙方服务人员人身和财产损害的，甲方承担全部法律责任。</w:t>
      </w:r>
    </w:p>
    <w:p w14:paraId="5923B34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乙方义务</w:t>
      </w:r>
    </w:p>
    <w:p w14:paraId="40FAB01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2.1乙方应保证具有履行本协议的法定资质，向甲方提供其有关生产、营业执照、组织机构代码证等资质的原件及复印件。</w:t>
      </w:r>
    </w:p>
    <w:p w14:paraId="3E78F32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2.2根据服务外包的项目选聘合格的服务人员承担服务工作，乙方保证使用在甲方服务外包项目上的员工是经过合法录用和考核管理的，确保服务事项顺利开展。</w:t>
      </w:r>
    </w:p>
    <w:p w14:paraId="54AD14D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乙方应按照《劳动法》《劳动合同法》等法律法规规定，及时与乙方招聘的服务外包人员签订劳动合同，按时足额发放工资，办理缴纳社会保险，并向甲方提供服务人员花名册及身份证复印件等相关资料，并确保证件真实有效。</w:t>
      </w:r>
    </w:p>
    <w:p w14:paraId="0FDB33F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2.4乙方应按照甲方要求对服务人员进行业务培训(包括安全生产、遵章守纪、保密等)和日常管理(由乙方负责提供培训场所、用水用电和培训设备等)。</w:t>
      </w:r>
    </w:p>
    <w:p w14:paraId="070D4B5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2.5乙方应按照甲方要求，与招聘的服务人员签订保密协议。</w:t>
      </w:r>
    </w:p>
    <w:p w14:paraId="70D891A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2.6有义务和甲方一起确保服务人员的安全服务、卫生健康，提供必要的预防监督和保护措施，不得在员工工作范围内存在非法、危险、不安全、不卫生情形。</w:t>
      </w:r>
    </w:p>
    <w:p w14:paraId="2791553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2.7指定一名以上的项目服务人员，对接甲方处理本协议约定的其他服务内容。乙方应向甲方出具该指定人员的授权委托书，该指定人员所作行为对乙方发生效力。</w:t>
      </w:r>
    </w:p>
    <w:p w14:paraId="504A1C4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2.8按本协议约定为甲方提供各项服务，对服务过程中出现的问题主动及时和甲方沟通，并提出改善方案，根据甲方要求适当调整，确保服务品质的体现。</w:t>
      </w:r>
    </w:p>
    <w:p w14:paraId="5ADCF1C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2.9保障乙方服务人员在甲方岗位服务的劳动保护、劳动条件和职业病危害防护的相关措施，并对乙方服务人员进行操作规范、工作安全及规章制度的指导，并免费提供防护用具。</w:t>
      </w:r>
    </w:p>
    <w:p w14:paraId="2C38D23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2.10乙方服务人员在工作期间工伤、职业病或其他人身损害，甲方及乙方其他服务人员应积极组织抢救，并及时告知乙方，乙方应及时按照国家有关工伤保险的法律法规的规定或人身意外伤害的规定进入理赔程序给予处理。</w:t>
      </w:r>
    </w:p>
    <w:p w14:paraId="205F6A5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2.11协议期间乙方应每月定期或不定期开展巡回检查，协商处理、解决乙方服务人员出现的各种问题；遇到突发状况时，乙方应响应甲方要求，安排管理人员协调处理突发问题，确保甲方正常工作顺利进行。</w:t>
      </w:r>
    </w:p>
    <w:p w14:paraId="20C3EBB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2.12乙方应约束服务人员自觉遵守甲方制定的各项管理制度，爱护甲方的各种设施、物品。</w:t>
      </w:r>
    </w:p>
    <w:p w14:paraId="41D136B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2.13遇到临时或者特殊紧急情况时，乙方服务人员必须配合甲方要求，以确保甲方正常工作顺利进行，对不服从甲方现场管理的服务人员，乙方要视情况进行批评教育、经济处罚、更换调整等措施。</w:t>
      </w:r>
    </w:p>
    <w:p w14:paraId="7D452A3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2.14当终止或解除劳动合同条件发生时，乙方按有关规定和标准承担从事服务外包人员经济补偿金或赔偿金等费用，乙方向依法享有上述权利的员工支付。</w:t>
      </w:r>
    </w:p>
    <w:p w14:paraId="2795327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2.15因乙方服务人员的合法权益受到甲方</w:t>
      </w:r>
      <w:r>
        <w:rPr>
          <w:rFonts w:hint="eastAsia" w:asciiTheme="minorEastAsia" w:hAnsiTheme="minorEastAsia" w:eastAsiaTheme="minorEastAsia" w:cstheme="minorEastAsia"/>
          <w:sz w:val="24"/>
          <w:szCs w:val="24"/>
          <w:lang w:val="en-US" w:eastAsia="zh-CN"/>
        </w:rPr>
        <w:t>直接</w:t>
      </w:r>
      <w:r>
        <w:rPr>
          <w:rFonts w:hint="eastAsia" w:asciiTheme="minorEastAsia" w:hAnsiTheme="minorEastAsia" w:eastAsiaTheme="minorEastAsia" w:cstheme="minorEastAsia"/>
          <w:sz w:val="24"/>
          <w:szCs w:val="24"/>
        </w:rPr>
        <w:t>侵犯而发生争议或诉讼的，由甲方承担最终的赔偿责任。乙方员工与乙方发生</w:t>
      </w:r>
      <w:r>
        <w:rPr>
          <w:rFonts w:hint="eastAsia" w:asciiTheme="minorEastAsia" w:hAnsiTheme="minorEastAsia" w:eastAsiaTheme="minorEastAsia" w:cstheme="minorEastAsia"/>
          <w:sz w:val="24"/>
          <w:szCs w:val="24"/>
          <w:lang w:val="en-US" w:eastAsia="zh-CN"/>
        </w:rPr>
        <w:t>争议或</w:t>
      </w:r>
      <w:r>
        <w:rPr>
          <w:rFonts w:hint="eastAsia" w:asciiTheme="minorEastAsia" w:hAnsiTheme="minorEastAsia" w:eastAsiaTheme="minorEastAsia" w:cstheme="minorEastAsia"/>
          <w:sz w:val="24"/>
          <w:szCs w:val="24"/>
        </w:rPr>
        <w:t>纠纷，或乙方员工因乙方原因与甲方发生</w:t>
      </w:r>
      <w:r>
        <w:rPr>
          <w:rFonts w:hint="eastAsia" w:asciiTheme="minorEastAsia" w:hAnsiTheme="minorEastAsia" w:eastAsiaTheme="minorEastAsia" w:cstheme="minorEastAsia"/>
          <w:sz w:val="24"/>
          <w:szCs w:val="24"/>
          <w:lang w:val="en-US" w:eastAsia="zh-CN"/>
        </w:rPr>
        <w:t>争议或</w:t>
      </w:r>
      <w:r>
        <w:rPr>
          <w:rFonts w:hint="eastAsia" w:asciiTheme="minorEastAsia" w:hAnsiTheme="minorEastAsia" w:eastAsiaTheme="minorEastAsia" w:cstheme="minorEastAsia"/>
          <w:sz w:val="24"/>
          <w:szCs w:val="24"/>
        </w:rPr>
        <w:t>纠纷，最后导致甲方承担责任的，乙方应当向甲方承担</w:t>
      </w:r>
      <w:r>
        <w:rPr>
          <w:rFonts w:hint="eastAsia" w:asciiTheme="minorEastAsia" w:hAnsiTheme="minorEastAsia" w:eastAsiaTheme="minorEastAsia" w:cstheme="minorEastAsia"/>
          <w:sz w:val="24"/>
          <w:szCs w:val="24"/>
          <w:lang w:val="en-US" w:eastAsia="zh-CN"/>
        </w:rPr>
        <w:t>全部</w:t>
      </w:r>
      <w:r>
        <w:rPr>
          <w:rFonts w:hint="eastAsia" w:asciiTheme="minorEastAsia" w:hAnsiTheme="minorEastAsia" w:eastAsiaTheme="minorEastAsia" w:cstheme="minorEastAsia"/>
          <w:sz w:val="24"/>
          <w:szCs w:val="24"/>
        </w:rPr>
        <w:t>赔偿责任，包括但不限于甲方实际支付的赔偿金、诉讼费、 鉴定费、律师费等甲方因此支付的一切经济损失。</w:t>
      </w:r>
    </w:p>
    <w:p w14:paraId="0904416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2.16甲方有权对乙方工作完成情况以及服务人员专业情况进行考核，如乙方未按要求完成甲方工作，或乙方服务人员出现专业技能不达标等影响工作的情形，乙方应当按照甲方要求进行整改。乙方拒绝整改或者经过整改仍然无法完成工作的，甲方有权自行委托第三方完成或解除合同。甲方委托第三方完成的，由此产生的费用由乙方承担；甲方解除合同的，乙方除按照实际服务期限，退还多收取的费用外，还应向甲方承担本合同总金额</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%的违约金。</w:t>
      </w:r>
    </w:p>
    <w:p w14:paraId="5B0B7F0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2.17因乙方或乙方服务人员原因造成的一切人身及财产损失，由乙方承担赔偿责任；因此致使甲方承担相关责任的，乙方应向甲方承担赔偿责任，包括但不限于甲方实际支付的赔偿金、诉讼费、 鉴定费、律师费等甲方因此支付的一切经济损失。</w:t>
      </w:r>
    </w:p>
    <w:p w14:paraId="0F2DF797">
      <w:pPr>
        <w:keepNext w:val="0"/>
        <w:keepLines w:val="0"/>
        <w:pageBreakBefore w:val="0"/>
        <w:numPr>
          <w:ilvl w:val="0"/>
          <w:numId w:val="1"/>
        </w:numPr>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费用结算</w:t>
      </w:r>
    </w:p>
    <w:p w14:paraId="4016E8A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合同价款：</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p>
    <w:p w14:paraId="6C0B471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付款方式：</w:t>
      </w:r>
    </w:p>
    <w:p w14:paraId="5022463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本合同预付款为合同总金额的</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%,乙方在合同签订后15个日内，根据甲方财务要求，向甲方提交正式税务发票，由甲方提交财政审核并履行相关手续后通过支票或转账的方式向乙方指定账户支付预付费用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服务七个月后，甲方支付合同总金额的</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全部服务内容完成后并验收合格后，甲方支付剩余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%的合同金额。</w:t>
      </w:r>
    </w:p>
    <w:p w14:paraId="72BBBF3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付款账户：</w:t>
      </w:r>
    </w:p>
    <w:p w14:paraId="28FF3C6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3.1乙方指定下述账户为项目收款账户(如有变更，乙方应提前七日以书面形式告知甲方，否则因此 造成的损失由乙方承担)。</w:t>
      </w:r>
    </w:p>
    <w:p w14:paraId="6760865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3.1.1公司名称：</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  </w:t>
      </w:r>
    </w:p>
    <w:p w14:paraId="54E8E98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3.1.2开户银行：</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 </w:t>
      </w:r>
    </w:p>
    <w:p w14:paraId="0FFCE30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3.1.3银行账号：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                 </w:t>
      </w:r>
    </w:p>
    <w:p w14:paraId="2743915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其他约定：本协议有效期内，甲方因工作需要，要求乙方增加工作人数或工作内容，费用核算标准参考本合同价款或另行商定执行。</w:t>
      </w:r>
    </w:p>
    <w:p w14:paraId="10636C49">
      <w:pPr>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第七条</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期限与终止</w:t>
      </w:r>
    </w:p>
    <w:p w14:paraId="76621D6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本协议有效期限</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年，自</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日至</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日止。协议期满前壹个月之内，乙方向甲方书面提出续约申请，经甲方同意后，进入协议续签流程；若按照政策规定需要重新招标，则</w:t>
      </w:r>
      <w:r>
        <w:rPr>
          <w:rFonts w:hint="eastAsia" w:asciiTheme="minorEastAsia" w:hAnsiTheme="minorEastAsia" w:eastAsiaTheme="minorEastAsia" w:cstheme="minorEastAsia"/>
          <w:sz w:val="24"/>
          <w:szCs w:val="24"/>
          <w:lang w:val="en-US" w:eastAsia="zh-CN"/>
        </w:rPr>
        <w:t>本协议终止，项目按照</w:t>
      </w:r>
      <w:r>
        <w:rPr>
          <w:rFonts w:hint="eastAsia" w:asciiTheme="minorEastAsia" w:hAnsiTheme="minorEastAsia" w:eastAsiaTheme="minorEastAsia" w:cstheme="minorEastAsia"/>
          <w:sz w:val="24"/>
          <w:szCs w:val="24"/>
        </w:rPr>
        <w:t>招标流程</w:t>
      </w:r>
      <w:r>
        <w:rPr>
          <w:rFonts w:hint="eastAsia" w:asciiTheme="minorEastAsia" w:hAnsiTheme="minorEastAsia" w:eastAsiaTheme="minorEastAsia" w:cstheme="minorEastAsia"/>
          <w:sz w:val="24"/>
          <w:szCs w:val="24"/>
          <w:lang w:val="en-US" w:eastAsia="zh-CN"/>
        </w:rPr>
        <w:t>进行</w:t>
      </w:r>
      <w:r>
        <w:rPr>
          <w:rFonts w:hint="eastAsia" w:asciiTheme="minorEastAsia" w:hAnsiTheme="minorEastAsia" w:eastAsiaTheme="minorEastAsia" w:cstheme="minorEastAsia"/>
          <w:sz w:val="24"/>
          <w:szCs w:val="24"/>
        </w:rPr>
        <w:t>。</w:t>
      </w:r>
    </w:p>
    <w:p w14:paraId="560F532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甲、乙任一方未遵守本协议约定履行义务、承担责任的，另一方有权按照约定解除或终止本协议。</w:t>
      </w:r>
    </w:p>
    <w:p w14:paraId="2514ABFE">
      <w:pPr>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第八条</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法律责任</w:t>
      </w:r>
    </w:p>
    <w:p w14:paraId="35B46A7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1、保密义务：除非一方明确授权，另一方不得在协议履行期间或协议终止、解除后进行下述活动：(a) 向第三方披露保密信息；(b) 为公司的利益或其它方的利益使用保密信息；(c) 公开保密信息。</w:t>
      </w:r>
    </w:p>
    <w:p w14:paraId="27DF50A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2、违约责任：任何一方违反保密义务给对方造成损失，违约方对受损失方负有停止侵害、消除影响、赔偿损失的责任。</w:t>
      </w:r>
    </w:p>
    <w:p w14:paraId="1DF7581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不可抗力：如发生不可抗力，阻碍受影响方履行其在本协议项下的义务，受影响方应及时书面通知另一方并提供有关该事件的详尽资料，说明其不能履行或延迟履行本协议全部或部分条款的原因。发生不可抗力事件后，受影响方均无须对因其未能履行或延迟履行本协议负责，而未能履行或延迟履 行不应被视为违反本协议。</w:t>
      </w:r>
    </w:p>
    <w:p w14:paraId="7AEC5BE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4、争议解决：本协议在履行中如有争议，双方应本着友好协商的原则协商解决，协商解决不成，双方约定向甲方所在地人民法院提起诉讼。</w:t>
      </w:r>
    </w:p>
    <w:p w14:paraId="1D9BDECA">
      <w:pPr>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第九条 其他</w:t>
      </w:r>
    </w:p>
    <w:p w14:paraId="2E3FFEE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1、指定代表人信息</w:t>
      </w:r>
    </w:p>
    <w:p w14:paraId="2388166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heme="minorEastAsia" w:hAnsiTheme="minorEastAsia" w:eastAsiaTheme="minorEastAsia" w:cstheme="minorEastAsia"/>
          <w:sz w:val="24"/>
          <w:szCs w:val="24"/>
          <w:u w:val="none"/>
          <w:lang w:val="en-US" w:eastAsia="zh-CN"/>
        </w:rPr>
      </w:pPr>
      <w:r>
        <w:rPr>
          <w:rFonts w:hint="eastAsia" w:asciiTheme="minorEastAsia" w:hAnsiTheme="minorEastAsia" w:eastAsiaTheme="minorEastAsia" w:cstheme="minorEastAsia"/>
          <w:sz w:val="24"/>
          <w:szCs w:val="24"/>
          <w:lang w:eastAsia="zh-CN"/>
        </w:rPr>
        <w:t>1.1甲方的通讯地址为：</w:t>
      </w:r>
      <w:r>
        <w:rPr>
          <w:rFonts w:hint="eastAsia" w:asciiTheme="minorEastAsia" w:hAnsiTheme="minorEastAsia" w:eastAsiaTheme="minorEastAsia" w:cstheme="minorEastAsia"/>
          <w:sz w:val="24"/>
          <w:szCs w:val="24"/>
          <w:u w:val="single"/>
          <w:lang w:val="en-US" w:eastAsia="zh-CN"/>
        </w:rPr>
        <w:t xml:space="preserve">                               </w:t>
      </w:r>
    </w:p>
    <w:p w14:paraId="71255D4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u w:val="none"/>
          <w:lang w:eastAsia="zh-CN"/>
        </w:rPr>
      </w:pPr>
      <w:r>
        <w:rPr>
          <w:rFonts w:hint="eastAsia" w:asciiTheme="minorEastAsia" w:hAnsiTheme="minorEastAsia" w:eastAsiaTheme="minorEastAsia" w:cstheme="minorEastAsia"/>
          <w:sz w:val="24"/>
          <w:szCs w:val="24"/>
          <w:lang w:eastAsia="zh-CN"/>
        </w:rPr>
        <w:t>联系人：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eastAsia="zh-CN"/>
        </w:rPr>
        <w:t>，电话号码：</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eastAsia="zh-CN"/>
        </w:rPr>
        <w:t>，公司邮箱：</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w:t>
      </w:r>
    </w:p>
    <w:p w14:paraId="5510D27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1.2乙方的通讯地址为：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eastAsia="zh-CN"/>
        </w:rPr>
        <w:t xml:space="preserve"> </w:t>
      </w:r>
    </w:p>
    <w:p w14:paraId="6F7911A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u w:val="none"/>
          <w:lang w:val="en-US" w:eastAsia="zh-CN"/>
        </w:rPr>
      </w:pPr>
      <w:r>
        <w:rPr>
          <w:rFonts w:hint="eastAsia" w:asciiTheme="minorEastAsia" w:hAnsiTheme="minorEastAsia" w:eastAsiaTheme="minorEastAsia" w:cstheme="minorEastAsia"/>
          <w:sz w:val="24"/>
          <w:szCs w:val="24"/>
          <w:lang w:eastAsia="zh-CN"/>
        </w:rPr>
        <w:t>联系人：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eastAsia="zh-CN"/>
        </w:rPr>
        <w:t>，电话号码：</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eastAsia="zh-CN"/>
        </w:rPr>
        <w:t>，公司邮箱：</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w:t>
      </w:r>
    </w:p>
    <w:p w14:paraId="7F58FEF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2、通知</w:t>
      </w:r>
    </w:p>
    <w:p w14:paraId="1FC3C3A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2.1本协议履行过程中，任何“通知”、“告知”、“确认”、“同意”均应以书面形式作出，“书 面形式”限于以中文形式发送传真、电子邮件、信函(邮政、快递或专人派送),送达对方指定的通讯地址(如无，则营业地址视为送达地址),收件人为双方各自指定的联系人。</w:t>
      </w:r>
    </w:p>
    <w:p w14:paraId="35EED60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2.2本条款双方营业地址或通讯地址信息若变更，需以书面形式告知另一方并确认对方知悉；各类通知以对方收到或应当收到日期为准。</w:t>
      </w:r>
    </w:p>
    <w:p w14:paraId="3F27CFB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3、本协议未尽事宜，双方另行签署《补充协议》，具有同等法律效力，抵触部分以补充协议为准。</w:t>
      </w:r>
    </w:p>
    <w:p w14:paraId="29FCB34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4、甲、乙双方要严格遵守执行《磋商文件》，本协议内容与《磋商文件》不一致或相抵触，以《磋商文件》为准。</w:t>
      </w:r>
    </w:p>
    <w:p w14:paraId="1A1788C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5、本协议一式肆份，自双方签字盖章之日起生效。甲方执贰份，乙方执贰份，具有同等法律效力。</w:t>
      </w:r>
    </w:p>
    <w:p w14:paraId="734034F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以下无正文</w:t>
      </w:r>
      <w:r>
        <w:rPr>
          <w:rFonts w:hint="eastAsia" w:asciiTheme="minorEastAsia" w:hAnsiTheme="minorEastAsia" w:eastAsiaTheme="minorEastAsia" w:cstheme="minorEastAsia"/>
          <w:sz w:val="24"/>
          <w:szCs w:val="24"/>
          <w:lang w:eastAsia="zh-CN"/>
        </w:rPr>
        <w:t>）</w:t>
      </w:r>
    </w:p>
    <w:p w14:paraId="21E166F4">
      <w:pPr>
        <w:bidi w:val="0"/>
        <w:rPr>
          <w:rFonts w:hint="eastAsia"/>
          <w:lang w:eastAsia="zh-CN"/>
        </w:rPr>
      </w:pPr>
      <w:r>
        <w:rPr>
          <w:rFonts w:hint="eastAsia"/>
          <w:lang w:eastAsia="zh-CN"/>
        </w:rPr>
        <w:br w:type="page"/>
      </w:r>
    </w:p>
    <w:p w14:paraId="35460A54">
      <w:pPr>
        <w:bidi w:val="0"/>
        <w:ind w:firstLine="420" w:firstLineChars="200"/>
        <w:jc w:val="both"/>
        <w:rPr>
          <w:rFonts w:hint="default"/>
          <w:lang w:val="en-US" w:eastAsia="zh-CN"/>
        </w:rPr>
      </w:pPr>
      <w:r>
        <w:rPr>
          <w:rFonts w:hint="eastAsia"/>
          <w:lang w:eastAsia="zh-CN"/>
        </w:rPr>
        <w:t>（</w:t>
      </w:r>
      <w:r>
        <w:rPr>
          <w:rFonts w:hint="eastAsia"/>
          <w:lang w:val="en-US" w:eastAsia="zh-CN"/>
        </w:rPr>
        <w:t>本页为签署页）</w:t>
      </w:r>
    </w:p>
    <w:p w14:paraId="37474326">
      <w:pPr>
        <w:pStyle w:val="11"/>
        <w:spacing w:line="360" w:lineRule="auto"/>
        <w:ind w:left="479" w:leftChars="228"/>
        <w:rPr>
          <w:rFonts w:hint="eastAsia" w:ascii="宋体" w:hAnsi="宋体" w:cs="宋体"/>
          <w:color w:val="000000"/>
          <w:sz w:val="24"/>
          <w:szCs w:val="24"/>
        </w:rPr>
      </w:pPr>
    </w:p>
    <w:p w14:paraId="00D4792B">
      <w:pPr>
        <w:pStyle w:val="11"/>
        <w:spacing w:line="360" w:lineRule="auto"/>
        <w:ind w:left="479" w:leftChars="228"/>
        <w:rPr>
          <w:rFonts w:ascii="宋体" w:hAnsi="宋体" w:cs="宋体"/>
          <w:color w:val="000000"/>
          <w:sz w:val="24"/>
          <w:szCs w:val="24"/>
        </w:rPr>
      </w:pPr>
      <w:r>
        <w:rPr>
          <w:rFonts w:hint="eastAsia" w:ascii="宋体" w:hAnsi="宋体" w:cs="宋体"/>
          <w:color w:val="000000"/>
          <w:sz w:val="24"/>
          <w:szCs w:val="24"/>
        </w:rPr>
        <w:t>甲</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方：</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 xml:space="preserve">（盖章）     </w:t>
      </w:r>
      <w:r>
        <w:rPr>
          <w:rFonts w:hint="eastAsia" w:ascii="宋体" w:hAnsi="宋体" w:cs="宋体"/>
          <w:color w:val="000000"/>
          <w:sz w:val="24"/>
          <w:szCs w:val="24"/>
        </w:rPr>
        <w:br w:type="textWrapping"/>
      </w:r>
      <w:r>
        <w:rPr>
          <w:rFonts w:hint="eastAsia" w:ascii="宋体" w:hAnsi="宋体" w:cs="宋体"/>
          <w:color w:val="000000"/>
          <w:sz w:val="24"/>
          <w:szCs w:val="24"/>
        </w:rPr>
        <w:t>法定代表人（负责人）或其授权的代理人：</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 xml:space="preserve">（签字或盖章） </w:t>
      </w:r>
    </w:p>
    <w:p w14:paraId="0BBFA9B0">
      <w:pPr>
        <w:pStyle w:val="11"/>
        <w:spacing w:line="360" w:lineRule="auto"/>
        <w:ind w:firstLine="480"/>
        <w:rPr>
          <w:rFonts w:hint="eastAsia" w:ascii="宋体" w:hAnsi="宋体" w:cs="宋体"/>
          <w:color w:val="000000"/>
          <w:sz w:val="24"/>
          <w:szCs w:val="24"/>
        </w:rPr>
      </w:pPr>
      <w:r>
        <w:rPr>
          <w:rFonts w:hint="eastAsia" w:ascii="宋体" w:hAnsi="宋体" w:cs="宋体"/>
          <w:color w:val="000000"/>
          <w:sz w:val="24"/>
          <w:szCs w:val="24"/>
        </w:rPr>
        <w:t>电    话：</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 xml:space="preserve">                        </w:t>
      </w:r>
    </w:p>
    <w:p w14:paraId="736AE455">
      <w:pPr>
        <w:pStyle w:val="11"/>
        <w:spacing w:line="360" w:lineRule="auto"/>
        <w:ind w:firstLine="480"/>
        <w:rPr>
          <w:rFonts w:ascii="宋体" w:hAnsi="宋体" w:cs="宋体"/>
          <w:color w:val="000000"/>
          <w:sz w:val="24"/>
          <w:szCs w:val="24"/>
        </w:rPr>
      </w:pPr>
      <w:r>
        <w:rPr>
          <w:rFonts w:hint="eastAsia" w:ascii="宋体" w:hAnsi="宋体" w:cs="宋体"/>
          <w:color w:val="000000"/>
          <w:sz w:val="24"/>
          <w:szCs w:val="24"/>
        </w:rPr>
        <w:t>日    期：</w:t>
      </w:r>
      <w:r>
        <w:rPr>
          <w:rFonts w:hint="eastAsia" w:ascii="宋体" w:hAnsi="宋体" w:cs="宋体"/>
          <w:color w:val="000000"/>
          <w:sz w:val="24"/>
          <w:szCs w:val="24"/>
          <w:u w:val="single"/>
          <w:lang w:val="en-US" w:eastAsia="zh-CN"/>
        </w:rPr>
        <w:t xml:space="preserve">                    </w:t>
      </w:r>
    </w:p>
    <w:p w14:paraId="4DC83FD4">
      <w:pPr>
        <w:pStyle w:val="11"/>
        <w:spacing w:line="360" w:lineRule="auto"/>
        <w:ind w:left="479" w:leftChars="228"/>
        <w:rPr>
          <w:rFonts w:ascii="宋体" w:hAnsi="宋体" w:cs="宋体"/>
          <w:color w:val="000000"/>
          <w:sz w:val="24"/>
          <w:szCs w:val="24"/>
        </w:rPr>
      </w:pPr>
    </w:p>
    <w:p w14:paraId="4F9FE3F9">
      <w:pPr>
        <w:pStyle w:val="11"/>
        <w:spacing w:line="360" w:lineRule="auto"/>
        <w:ind w:left="479" w:leftChars="228"/>
        <w:rPr>
          <w:rFonts w:hint="eastAsia" w:ascii="宋体" w:hAnsi="宋体" w:cs="宋体"/>
          <w:color w:val="000000"/>
          <w:sz w:val="24"/>
          <w:szCs w:val="24"/>
        </w:rPr>
      </w:pPr>
      <w:r>
        <w:rPr>
          <w:rFonts w:hint="eastAsia" w:ascii="宋体" w:hAnsi="宋体" w:cs="宋体"/>
          <w:color w:val="000000"/>
          <w:sz w:val="24"/>
          <w:szCs w:val="24"/>
        </w:rPr>
        <w:t>乙方：</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 xml:space="preserve">（盖章） </w:t>
      </w:r>
      <w:r>
        <w:rPr>
          <w:rFonts w:hint="eastAsia" w:ascii="宋体" w:hAnsi="宋体" w:cs="宋体"/>
          <w:color w:val="000000"/>
          <w:sz w:val="24"/>
          <w:szCs w:val="24"/>
        </w:rPr>
        <w:br w:type="textWrapping"/>
      </w:r>
      <w:r>
        <w:rPr>
          <w:rFonts w:hint="eastAsia" w:ascii="宋体" w:hAnsi="宋体" w:cs="宋体"/>
          <w:color w:val="000000"/>
          <w:sz w:val="24"/>
          <w:szCs w:val="24"/>
        </w:rPr>
        <w:t>法定代表人（负责人）或其授权的代理人：</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 xml:space="preserve">（签字或盖章）                </w:t>
      </w:r>
      <w:r>
        <w:rPr>
          <w:rFonts w:hint="eastAsia" w:ascii="宋体" w:hAnsi="宋体" w:cs="宋体"/>
          <w:color w:val="000000"/>
          <w:sz w:val="24"/>
          <w:szCs w:val="24"/>
        </w:rPr>
        <w:br w:type="textWrapping"/>
      </w:r>
      <w:r>
        <w:rPr>
          <w:rFonts w:hint="eastAsia" w:ascii="宋体" w:hAnsi="宋体" w:cs="宋体"/>
          <w:color w:val="000000"/>
          <w:sz w:val="24"/>
          <w:szCs w:val="24"/>
        </w:rPr>
        <w:t>电    话：</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 xml:space="preserve">                         </w:t>
      </w:r>
    </w:p>
    <w:p w14:paraId="2DA906B1">
      <w:pPr>
        <w:pStyle w:val="11"/>
        <w:spacing w:line="360" w:lineRule="auto"/>
        <w:ind w:left="479" w:leftChars="228"/>
        <w:rPr>
          <w:rFonts w:hint="eastAsia" w:asciiTheme="minorEastAsia" w:hAnsiTheme="minorEastAsia" w:eastAsiaTheme="minorEastAsia" w:cstheme="minorEastAsia"/>
          <w:sz w:val="24"/>
          <w:szCs w:val="24"/>
        </w:rPr>
      </w:pPr>
      <w:r>
        <w:rPr>
          <w:rFonts w:hint="eastAsia" w:ascii="宋体" w:hAnsi="宋体" w:cs="宋体"/>
          <w:color w:val="000000"/>
          <w:sz w:val="24"/>
          <w:szCs w:val="24"/>
        </w:rPr>
        <w:t>日    期：</w:t>
      </w:r>
      <w:r>
        <w:rPr>
          <w:rFonts w:hint="eastAsia" w:ascii="宋体" w:hAnsi="宋体" w:cs="宋体"/>
          <w:color w:val="000000"/>
          <w:sz w:val="24"/>
          <w:szCs w:val="24"/>
          <w:u w:val="single"/>
          <w:lang w:val="en-US" w:eastAsia="zh-CN"/>
        </w:rPr>
        <w:t xml:space="preserve">                    </w:t>
      </w:r>
    </w:p>
    <w:sectPr>
      <w:pgSz w:w="11906" w:h="16838"/>
      <w:pgMar w:top="1417" w:right="1803" w:bottom="1417" w:left="180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TXingkai">
    <w:altName w:val="宋体"/>
    <w:panose1 w:val="0201080004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E95335"/>
    <w:multiLevelType w:val="singleLevel"/>
    <w:tmpl w:val="40E95335"/>
    <w:lvl w:ilvl="0" w:tentative="0">
      <w:start w:val="6"/>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29000071"/>
    <w:rsid w:val="005E587A"/>
    <w:rsid w:val="05D56FD6"/>
    <w:rsid w:val="263E0901"/>
    <w:rsid w:val="29000071"/>
    <w:rsid w:val="2F0142E5"/>
    <w:rsid w:val="303F74CB"/>
    <w:rsid w:val="30473F30"/>
    <w:rsid w:val="31D55097"/>
    <w:rsid w:val="3D5D467A"/>
    <w:rsid w:val="56905D0D"/>
    <w:rsid w:val="5ED92A49"/>
    <w:rsid w:val="670D26FD"/>
    <w:rsid w:val="6DB67146"/>
    <w:rsid w:val="779F1D30"/>
    <w:rsid w:val="7BC41E31"/>
    <w:rsid w:val="BEEFC024"/>
    <w:rsid w:val="CF9DF9BF"/>
    <w:rsid w:val="DEE78F10"/>
    <w:rsid w:val="F77C0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12"/>
    <w:qFormat/>
    <w:uiPriority w:val="0"/>
    <w:pPr>
      <w:keepNext/>
      <w:keepLines/>
      <w:spacing w:before="120" w:beforeLines="0" w:after="120" w:afterLines="0" w:line="360" w:lineRule="auto"/>
      <w:jc w:val="center"/>
      <w:outlineLvl w:val="0"/>
    </w:pPr>
    <w:rPr>
      <w:rFonts w:ascii="Times New Roman" w:hAnsi="Times New Roman"/>
      <w:bCs/>
      <w:kern w:val="44"/>
      <w:sz w:val="30"/>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eastAsia="宋体" w:cs="Times New Roman"/>
      <w:b/>
      <w:sz w:val="32"/>
    </w:rPr>
  </w:style>
  <w:style w:type="paragraph" w:styleId="5">
    <w:name w:val="annotation text"/>
    <w:basedOn w:val="1"/>
    <w:uiPriority w:val="0"/>
    <w:pPr>
      <w:jc w:val="left"/>
    </w:pPr>
  </w:style>
  <w:style w:type="paragraph" w:styleId="6">
    <w:name w:val="Body Text"/>
    <w:basedOn w:val="1"/>
    <w:semiHidden/>
    <w:qFormat/>
    <w:uiPriority w:val="0"/>
    <w:rPr>
      <w:rFonts w:ascii="宋体" w:hAnsi="宋体" w:eastAsia="宋体" w:cs="宋体"/>
      <w:sz w:val="22"/>
      <w:szCs w:val="22"/>
      <w:lang w:val="en-US" w:eastAsia="en-US" w:bidi="ar-SA"/>
    </w:rPr>
  </w:style>
  <w:style w:type="paragraph" w:styleId="7">
    <w:name w:val="Plain Text"/>
    <w:basedOn w:val="1"/>
    <w:next w:val="1"/>
    <w:qFormat/>
    <w:uiPriority w:val="0"/>
    <w:rPr>
      <w:rFonts w:ascii="宋体" w:hAnsi="Courier New" w:cs="Courier New"/>
      <w:szCs w:val="21"/>
    </w:rPr>
  </w:style>
  <w:style w:type="paragraph" w:styleId="8">
    <w:name w:val="Body Text Indent 2"/>
    <w:basedOn w:val="1"/>
    <w:qFormat/>
    <w:uiPriority w:val="0"/>
    <w:pPr>
      <w:spacing w:after="120" w:afterLines="0" w:line="480" w:lineRule="auto"/>
      <w:ind w:left="420" w:leftChars="200"/>
    </w:pPr>
  </w:style>
  <w:style w:type="paragraph" w:customStyle="1" w:styleId="11">
    <w:name w:val="p0"/>
    <w:basedOn w:val="1"/>
    <w:qFormat/>
    <w:uiPriority w:val="0"/>
    <w:pPr>
      <w:widowControl/>
    </w:pPr>
    <w:rPr>
      <w:kern w:val="0"/>
      <w:szCs w:val="21"/>
    </w:rPr>
  </w:style>
  <w:style w:type="character" w:customStyle="1" w:styleId="12">
    <w:name w:val="标题 1 字符"/>
    <w:link w:val="2"/>
    <w:qFormat/>
    <w:uiPriority w:val="0"/>
    <w:rPr>
      <w:rFonts w:ascii="Times New Roman" w:hAnsi="Times New Roman"/>
      <w:bCs/>
      <w:kern w:val="44"/>
      <w:sz w:val="30"/>
      <w:szCs w:val="44"/>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4876</Words>
  <Characters>5006</Characters>
  <Lines>0</Lines>
  <Paragraphs>0</Paragraphs>
  <TotalTime>25</TotalTime>
  <ScaleCrop>false</ScaleCrop>
  <LinksUpToDate>false</LinksUpToDate>
  <CharactersWithSpaces>5731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2025-03-24T16:36:00Z</dcterms:created>
  <dc:creator>大黄。</dc:creator>
  <cp:lastModifiedBy>-☞笨笨</cp:lastModifiedBy>
  <dcterms:modified xsi:type="dcterms:W3CDTF">2026-08-13T09:26:38Z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3F05ECFE0DAD4152B62536C55CF82A2A_13</vt:lpwstr>
  </property>
  <property fmtid="{D5CDD505-2E9C-101B-9397-08002B2CF9AE}" pid="4" name="KSOTemplateDocerSaveRecord">
    <vt:lpwstr>eyJoZGlkIjoiMWZmZDYyYzU4NjlmYmRlYmQ0NWI4OTM4MjdjYjc3MjIiLCJ1c2VySWQiOiI1NTMwMTc4NDcifQ==</vt:lpwstr>
  </property>
</Properties>
</file>