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5263AF2">
      <w:pPr>
        <w:jc w:val="center"/>
        <w:rPr>
          <w:rFonts w:hint="eastAsia"/>
          <w:sz w:val="44"/>
          <w:szCs w:val="52"/>
          <w:lang w:val="en-US" w:eastAsia="zh-CN"/>
        </w:rPr>
      </w:pPr>
      <w:r>
        <w:rPr>
          <w:rFonts w:hint="eastAsia"/>
          <w:sz w:val="44"/>
          <w:szCs w:val="52"/>
          <w:lang w:val="en-US" w:eastAsia="zh-CN"/>
        </w:rPr>
        <w:t>雁塔区第二中学运动场沙坑建设方案</w:t>
      </w:r>
    </w:p>
    <w:p w14:paraId="5146ACF8">
      <w:pPr>
        <w:jc w:val="both"/>
        <w:rPr>
          <w:rFonts w:hint="default"/>
          <w:sz w:val="36"/>
          <w:szCs w:val="44"/>
          <w:lang w:val="en-US" w:eastAsia="zh-CN"/>
        </w:rPr>
      </w:pPr>
    </w:p>
    <w:p w14:paraId="12A46B8E">
      <w:pPr>
        <w:jc w:val="both"/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  <w:t>一、场地选址与规划</w:t>
      </w:r>
    </w:p>
    <w:p w14:paraId="697C09EA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1. 位置选择</w:t>
      </w:r>
    </w:p>
    <w:p w14:paraId="130D700E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   位于学校操场平坦区域，远离跑道终点或其他运动设施，避免交叉干扰，确保周边无树木、围墙等障碍物，预留至少3米缓冲区。排水良好，避免低洼易积水区域。</w:t>
      </w:r>
    </w:p>
    <w:p w14:paraId="07516529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2. 沙坑尺寸</w:t>
      </w:r>
    </w:p>
    <w:p w14:paraId="6CDF59A1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  长度：9米（满足中学生助跑起跳及落地需求）。  </w:t>
      </w:r>
    </w:p>
    <w:p w14:paraId="5888D46A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  宽度：3米（国际标准为成年2.75米，中学生可适当放宽）。  </w:t>
      </w:r>
    </w:p>
    <w:p w14:paraId="5D2550C4">
      <w:pPr>
        <w:ind w:firstLine="300" w:firstLineChars="100"/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深度：沙层厚度60厘米，底部铺设10厘米混凝土，10cm碎石层加强排水。  </w:t>
      </w:r>
    </w:p>
    <w:p w14:paraId="1585602B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  起跳板位置：距沙坑近端1-3米（根据学生年龄调整，可设置多个起跳点）。</w:t>
      </w:r>
    </w:p>
    <w:p w14:paraId="36BEA35D">
      <w:pPr>
        <w:jc w:val="both"/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  <w:t>二、结构与材料</w:t>
      </w:r>
    </w:p>
    <w:p w14:paraId="7049ABA8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1. 沙坑构造 </w:t>
      </w:r>
    </w:p>
    <w:p w14:paraId="3DE86F12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 边框：  </w:t>
      </w:r>
    </w:p>
    <w:p w14:paraId="23F8497D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 材质：防腐木、橡胶边条或PVC材质，边缘圆角处理，高度与地面平齐。  </w:t>
      </w:r>
    </w:p>
    <w:p w14:paraId="192EA575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 固定方式：埋入地下20-30厘米，确保稳固。  </w:t>
      </w:r>
    </w:p>
    <w:p w14:paraId="363C2C91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 基层：  </w:t>
      </w:r>
    </w:p>
    <w:p w14:paraId="1706B078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底层：10厘米碎石层（直径2-4厘米），增强透水性。  </w:t>
      </w:r>
    </w:p>
    <w:p w14:paraId="60CA72F4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中层：土工布覆盖碎石层，防止泥沙流失。  </w:t>
      </w:r>
    </w:p>
    <w:p w14:paraId="7A88562A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表层：50厘米细沙（粒径0.2-0.8毫米，无尖锐杂物）。  </w:t>
      </w:r>
    </w:p>
    <w:p w14:paraId="280BFA18">
      <w:pPr>
        <w:jc w:val="both"/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  <w:t>三、安全措施</w:t>
      </w:r>
    </w:p>
    <w:p w14:paraId="1E46597D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1. 周边防护 </w:t>
      </w:r>
    </w:p>
    <w:p w14:paraId="37E32D49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   沙坑两侧设置软质缓冲带（如橡胶垫或草坪），宽度≥1米。  </w:t>
      </w:r>
    </w:p>
    <w:p w14:paraId="5418890D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   设置警示标志（高度0.5米），禁止非训练时进入。  </w:t>
      </w:r>
    </w:p>
    <w:p w14:paraId="4A89846B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2. 日常安全检查  </w:t>
      </w:r>
    </w:p>
    <w:p w14:paraId="22E84AB0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   定期检查沙子是否板结、起跳板是否松动、边框是否破损。</w:t>
      </w:r>
    </w:p>
    <w:p w14:paraId="54CB9F52">
      <w:pPr>
        <w:jc w:val="both"/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  <w:t>四、沙子选择与维护</w:t>
      </w:r>
    </w:p>
    <w:p w14:paraId="23800596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1. 沙子标准</w:t>
      </w:r>
    </w:p>
    <w:p w14:paraId="24795FA9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   选用河沙或石英砂，需过筛去除杂质，保持松散、洁净。  </w:t>
      </w:r>
    </w:p>
    <w:p w14:paraId="662A9408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   定期补充新沙（每学期检查，年损耗量约10%-15%）。  </w:t>
      </w:r>
    </w:p>
    <w:p w14:paraId="6151E020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2. 维护管理  </w:t>
      </w:r>
    </w:p>
    <w:p w14:paraId="19B09F3D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   翻松：每周用沙耙翻松一次，雨后及时处理积水。  </w:t>
      </w:r>
    </w:p>
    <w:p w14:paraId="2C1388C8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   清洁：每月清除树叶、碎石等杂物，每学期全面更换底部防污层。  </w:t>
      </w:r>
    </w:p>
    <w:p w14:paraId="62F7E165">
      <w:pPr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四、附加建设</w:t>
      </w:r>
    </w:p>
    <w:p w14:paraId="4C918172">
      <w:pPr>
        <w:ind w:firstLine="600" w:firstLineChars="200"/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1. 教学配套：沙坑旁设置标线辅助体育教学。  </w:t>
      </w:r>
    </w:p>
    <w:p w14:paraId="437BF889">
      <w:pPr>
        <w:ind w:firstLine="600" w:firstLineChars="200"/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 xml:space="preserve">2. 多用途设计：沙坑可兼作三级跳远训练区，通过调整起跳板位置实现。  </w:t>
      </w:r>
    </w:p>
    <w:p w14:paraId="6687691C">
      <w:pPr>
        <w:ind w:firstLine="600" w:firstLineChars="200"/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3. 环保考虑：沙坑周边种植低矮绿植，既美化环境又防风固沙。</w:t>
      </w:r>
    </w:p>
    <w:p w14:paraId="2AA5BFB1">
      <w:pPr>
        <w:jc w:val="both"/>
        <w:rPr>
          <w:rFonts w:hint="default" w:ascii="宋体" w:hAnsi="宋体" w:eastAsia="宋体" w:cs="宋体"/>
          <w:b/>
          <w:bCs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  <w:t>五、施工工艺流程</w:t>
      </w:r>
    </w:p>
    <w:p w14:paraId="1CFDFF39">
      <w:pPr>
        <w:ind w:firstLine="600" w:firstLineChars="200"/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1. 测量放线：依据设计图纸，使用全站仪或经纬仪测放出沙坑的具体位置和边界，撒白灰线标记。</w:t>
      </w:r>
    </w:p>
    <w:p w14:paraId="022AFD25">
      <w:pPr>
        <w:ind w:firstLine="600" w:firstLineChars="200"/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2. 土方开挖：采用挖掘机开挖，预留20 - 30cm人工清理层，避免超挖。开挖过程中及时测量坑底标高和尺寸。</w:t>
      </w:r>
    </w:p>
    <w:p w14:paraId="47B84424">
      <w:pPr>
        <w:ind w:firstLine="600" w:firstLineChars="200"/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3. 坑底处理：人工清理坑底至设计标高，用平板振捣器夯实，使地基承载力达到设计要求。如遇软弱土层，需进行换填处理。</w:t>
      </w:r>
    </w:p>
    <w:p w14:paraId="2FA4EEEA">
      <w:pPr>
        <w:ind w:firstLine="600" w:firstLineChars="200"/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4. 沙坑砌筑： 沿沙坑四周用红砖砌筑挡土墙，砌筑时保证灰缝饱满、墙体垂直平整。</w:t>
      </w:r>
    </w:p>
    <w:p w14:paraId="7A3D5454">
      <w:pPr>
        <w:ind w:firstLine="600" w:firstLineChars="200"/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5. 土工布铺设：在坑底及挡土墙内侧铺设土工布，土工布应平整无破损，搭接宽度不小于20cm，并用U型钉固定。</w:t>
      </w:r>
    </w:p>
    <w:p w14:paraId="61AB9AB9">
      <w:pPr>
        <w:ind w:firstLine="600" w:firstLineChars="200"/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6. 沙子回填：选用干净、颗粒均匀的中粗砂，用装载机配合人工回填，分层铺填，并用平板振捣器振捣密实。</w:t>
      </w:r>
    </w:p>
    <w:p w14:paraId="5FA5CD35">
      <w:pPr>
        <w:ind w:firstLine="600" w:firstLineChars="200"/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7. 沙面平整：沙坑回填完成后，使用靠尺和抹子将沙面刮平，保证沙面平整度误差不超过±2cm。</w:t>
      </w:r>
    </w:p>
    <w:p w14:paraId="757C1F20">
      <w:pPr>
        <w:jc w:val="left"/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  <w:t>六、施工质量标准</w:t>
      </w:r>
    </w:p>
    <w:p w14:paraId="37245F6D">
      <w:pPr>
        <w:ind w:firstLine="600" w:firstLineChars="200"/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1. 沙坑尺寸：长、宽、深允许偏差为±5cm。</w:t>
      </w:r>
    </w:p>
    <w:p w14:paraId="169073A1">
      <w:pPr>
        <w:ind w:firstLine="600" w:firstLineChars="200"/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2. 坑底平整度：允许偏差为±1cm。</w:t>
      </w:r>
    </w:p>
    <w:p w14:paraId="35804B94">
      <w:pPr>
        <w:ind w:firstLine="600" w:firstLineChars="200"/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3. 挡土墙垂直度：允许偏差为±0.5%H（H为挡土墙高度）。</w:t>
      </w:r>
    </w:p>
    <w:p w14:paraId="041443FE">
      <w:pPr>
        <w:ind w:firstLine="600" w:firstLineChars="200"/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4. 沙子质量：含泥量不超过3%，颗粒粒径符合设计要求。</w:t>
      </w:r>
    </w:p>
    <w:p w14:paraId="423FDFDF">
      <w:pPr>
        <w:jc w:val="both"/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  <w:t>七、安全保障措施</w:t>
      </w:r>
    </w:p>
    <w:p w14:paraId="43BB0583">
      <w:pPr>
        <w:ind w:firstLine="600" w:firstLineChars="200"/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1. 现场设置明显的安全警示标志，严禁无关人员进入施工区域。</w:t>
      </w:r>
    </w:p>
    <w:p w14:paraId="797BEB2C">
      <w:pPr>
        <w:ind w:firstLine="600" w:firstLineChars="200"/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2. 施工机械作业时，设专人指挥，确保施工安全。</w:t>
      </w:r>
    </w:p>
    <w:p w14:paraId="2C58C895">
      <w:pPr>
        <w:ind w:firstLine="600" w:firstLineChars="200"/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3. 施工人员佩戴安全帽、手套等个人防护用品。</w:t>
      </w:r>
    </w:p>
    <w:p w14:paraId="4EAE88FE">
      <w:pPr>
        <w:jc w:val="both"/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  <w:t>八、施工环境保护措施</w:t>
      </w:r>
    </w:p>
    <w:p w14:paraId="327D7260">
      <w:pPr>
        <w:ind w:firstLine="600" w:firstLineChars="200"/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1. 土方开挖和运输过程中，采取洒水降尘措施，避免扬尘污染。</w:t>
      </w:r>
    </w:p>
    <w:p w14:paraId="46B7457D">
      <w:pPr>
        <w:ind w:firstLine="600" w:firstLineChars="200"/>
        <w:jc w:val="both"/>
        <w:rPr>
          <w:rFonts w:hint="eastAsia" w:ascii="宋体" w:hAnsi="宋体" w:eastAsia="宋体" w:cs="宋体"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sz w:val="30"/>
          <w:szCs w:val="30"/>
          <w:lang w:val="en-US" w:eastAsia="zh-CN"/>
        </w:rPr>
        <w:t>2. 施工废弃物及时清理，运至指定地点堆放。</w:t>
      </w:r>
    </w:p>
    <w:p w14:paraId="728B293B">
      <w:pPr>
        <w:jc w:val="both"/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  <w:t>九、施工图及效果图</w:t>
      </w:r>
    </w:p>
    <w:p w14:paraId="4BCDA8E4">
      <w:pPr>
        <w:jc w:val="both"/>
      </w:pPr>
      <w:r>
        <w:drawing>
          <wp:inline distT="0" distB="0" distL="114300" distR="114300">
            <wp:extent cx="5270500" cy="3287395"/>
            <wp:effectExtent l="0" t="0" r="6350" b="825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8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B3624">
      <w:pPr>
        <w:jc w:val="both"/>
      </w:pPr>
      <w:r>
        <w:drawing>
          <wp:inline distT="0" distB="0" distL="114300" distR="114300">
            <wp:extent cx="5267960" cy="3535045"/>
            <wp:effectExtent l="0" t="0" r="8890" b="825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53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6176A8">
      <w:pPr>
        <w:jc w:val="both"/>
      </w:pPr>
      <w:r>
        <w:drawing>
          <wp:inline distT="0" distB="0" distL="114300" distR="114300">
            <wp:extent cx="5270500" cy="3601720"/>
            <wp:effectExtent l="0" t="0" r="6350" b="1778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E6FB1">
      <w:pPr>
        <w:jc w:val="both"/>
      </w:pPr>
      <w:r>
        <w:drawing>
          <wp:inline distT="0" distB="0" distL="114300" distR="114300">
            <wp:extent cx="5265420" cy="3852545"/>
            <wp:effectExtent l="0" t="0" r="11430" b="1460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85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157C91">
      <w:pPr>
        <w:jc w:val="both"/>
      </w:pPr>
      <w:r>
        <w:drawing>
          <wp:inline distT="0" distB="0" distL="114300" distR="114300">
            <wp:extent cx="5270500" cy="3763645"/>
            <wp:effectExtent l="0" t="0" r="6350" b="8255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76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9580A">
      <w:pPr>
        <w:jc w:val="both"/>
        <w:rPr>
          <w:rFonts w:hint="default"/>
          <w:lang w:val="en-US" w:eastAsia="zh-CN"/>
        </w:rPr>
      </w:pPr>
    </w:p>
    <w:p w14:paraId="5BCF439E">
      <w:pPr>
        <w:jc w:val="both"/>
        <w:rPr>
          <w:rFonts w:hint="default"/>
          <w:lang w:val="en-US" w:eastAsia="zh-CN"/>
        </w:rPr>
      </w:pPr>
    </w:p>
    <w:p w14:paraId="11249FE4">
      <w:pPr>
        <w:jc w:val="both"/>
        <w:rPr>
          <w:rFonts w:hint="default"/>
          <w:lang w:val="en-US" w:eastAsia="zh-CN"/>
        </w:rPr>
      </w:pPr>
    </w:p>
    <w:p w14:paraId="094228CD">
      <w:pPr>
        <w:jc w:val="both"/>
        <w:rPr>
          <w:rFonts w:hint="default"/>
          <w:lang w:val="en-US" w:eastAsia="zh-CN"/>
        </w:rPr>
      </w:pPr>
    </w:p>
    <w:p w14:paraId="5EB2B538">
      <w:pPr>
        <w:jc w:val="both"/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  <w:t>十、工程量清单（实际工程具体按照工程量清单实施）</w:t>
      </w:r>
    </w:p>
    <w:p w14:paraId="6543BA74">
      <w:pPr>
        <w:jc w:val="both"/>
        <w:rPr>
          <w:rFonts w:hint="default"/>
          <w:sz w:val="36"/>
          <w:szCs w:val="44"/>
          <w:lang w:val="en-US"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13D1CD1"/>
    <w:rsid w:val="04FA74FE"/>
    <w:rsid w:val="0D3606B5"/>
    <w:rsid w:val="0F1369A0"/>
    <w:rsid w:val="1EB0453F"/>
    <w:rsid w:val="2D7D3184"/>
    <w:rsid w:val="38D74B62"/>
    <w:rsid w:val="43674663"/>
    <w:rsid w:val="44452DD1"/>
    <w:rsid w:val="46166032"/>
    <w:rsid w:val="473C0C45"/>
    <w:rsid w:val="4E393586"/>
    <w:rsid w:val="58C3686E"/>
    <w:rsid w:val="5B5E09DF"/>
    <w:rsid w:val="5CD71896"/>
    <w:rsid w:val="5F884E4A"/>
    <w:rsid w:val="60716C95"/>
    <w:rsid w:val="68A33FC6"/>
    <w:rsid w:val="6DD635AD"/>
    <w:rsid w:val="767219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1441</Words>
  <Characters>1649</Characters>
  <Lines>0</Lines>
  <Paragraphs>0</Paragraphs>
  <TotalTime>4</TotalTime>
  <ScaleCrop>false</ScaleCrop>
  <LinksUpToDate>false</LinksUpToDate>
  <CharactersWithSpaces>1754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2025-03-17T01:20:00Z</dcterms:created>
  <dc:creator>51372</dc:creator>
  <cp:lastModifiedBy>陈琳</cp:lastModifiedBy>
  <cp:lastPrinted>2025-04-07T03:26:00Z</cp:lastPrinted>
  <dcterms:modified xsi:type="dcterms:W3CDTF">2026-06-24T03:22:09Z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eyJoZGlkIjoiMzBlMzUzMjg2Zjc4MmU2NzZjZDQ4MTg4OWJjMmQ5ODciLCJ1c2VySWQiOiIzMzE2MDQ3ODEifQ==</vt:lpwstr>
  </property>
  <property fmtid="{D5CDD505-2E9C-101B-9397-08002B2CF9AE}" pid="4" name="ICV">
    <vt:lpwstr>73389B01593242ED83429F70F51B9E28_12</vt:lpwstr>
  </property>
</Properties>
</file>