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版本号：SXWXZBDL2026-ZC-CS104020260820001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桃园路街道办事处机关食堂食材配送招标项目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SXWXZBDL2026-ZC-CS1040</w:t>
      </w:r>
      <w:r>
        <w:br/>
      </w:r>
      <w:r>
        <w:br/>
      </w:r>
      <w:r>
        <w:br/>
      </w:r>
    </w:p>
    <w:p>
      <w:pPr>
        <w:pStyle w:val="null3"/>
        <w:jc w:val="center"/>
        <w:outlineLvl w:val="2"/>
      </w:pPr>
      <w:r>
        <w:rPr>
          <w:rFonts w:ascii="仿宋_GB2312" w:hAnsi="仿宋_GB2312" w:cs="仿宋_GB2312" w:eastAsia="仿宋_GB2312"/>
          <w:sz w:val="28"/>
          <w:b/>
        </w:rPr>
        <w:t>西安市莲湖区桃园路街道办事处</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西安市莲湖区桃园路街道办事处</w:t>
      </w:r>
      <w:r>
        <w:rPr>
          <w:rFonts w:ascii="仿宋_GB2312" w:hAnsi="仿宋_GB2312" w:cs="仿宋_GB2312" w:eastAsia="仿宋_GB2312"/>
        </w:rPr>
        <w:t>委托，拟对</w:t>
      </w:r>
      <w:r>
        <w:rPr>
          <w:rFonts w:ascii="仿宋_GB2312" w:hAnsi="仿宋_GB2312" w:cs="仿宋_GB2312" w:eastAsia="仿宋_GB2312"/>
        </w:rPr>
        <w:t>桃园路街道办事处机关食堂食材配送招标项目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桃园路街道办事处机关食堂食材配送招标项目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桃园路街道办事处机关食堂食材配送招标项目，其中包含蔬菜、水果、鲜肉、水产、冻品、干货、调料、米面油等其他零星采购。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采购包1（桃园路街道办事处机关食堂食材配送招标项目）：属于专门面向中小企业采购。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内任意一个月的社保缴纳证明），法定代表人直接参加磋商，须提供法定代表人身份证明及身份证复印件；</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供应商为生产厂家的须提供《食品生产许可证》；供应商为代理商的须提供《食品经营许可证》或《预包装食品备案表》：供应商为生产厂家的须提供《食品生产许可证》；供应商为代理商的须提供《食品经营许可证》或《预包装食品备案表》。</w:t>
      </w:r>
    </w:p>
    <w:p>
      <w:pPr>
        <w:pStyle w:val="null3"/>
      </w:pPr>
      <w:r>
        <w:rPr>
          <w:rFonts w:ascii="仿宋_GB2312" w:hAnsi="仿宋_GB2312" w:cs="仿宋_GB2312" w:eastAsia="仿宋_GB2312"/>
        </w:rPr>
        <w:t>10、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企业关系关联承诺书》完成承诺并进行电子签章；</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西安市莲湖区桃园路街道办事处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莲湖区大土门20号开远半岛5号楼29号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周春勇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13689292506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18729021283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不足6000元，按6000元计取。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西安市莲湖区桃园路街道办事处</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西安市莲湖区桃园路街道办事处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西安市莲湖区桃园路街道办事处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桃园路街道办事处机关食堂食材配送招标项目，其中包含蔬菜、水果、鲜肉、水产、冻品、干货、调料、米面油等其他零星采购。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桃园路街道办事处机关食堂食材配送招标项目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标的名称：桃园路街道办事处机关食堂食材配送招标项目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jc w:val="left"/>
            </w:pPr>
            <w:r>
              <w:rPr>
                <w:rFonts w:ascii="仿宋_GB2312" w:hAnsi="仿宋_GB2312" w:cs="仿宋_GB2312" w:eastAsia="仿宋_GB2312"/>
                <w:sz w:val="24"/>
              </w:rPr>
              <w:t>1.招标内容：</w:t>
            </w:r>
            <w:r>
              <w:rPr>
                <w:rFonts w:ascii="仿宋_GB2312" w:hAnsi="仿宋_GB2312" w:cs="仿宋_GB2312" w:eastAsia="仿宋_GB2312"/>
                <w:sz w:val="24"/>
              </w:rPr>
              <w:t>桃园路街道办事处机关食堂食材配送招标项目</w:t>
            </w:r>
            <w:r>
              <w:rPr>
                <w:rFonts w:ascii="仿宋_GB2312" w:hAnsi="仿宋_GB2312" w:cs="仿宋_GB2312" w:eastAsia="仿宋_GB2312"/>
                <w:sz w:val="24"/>
              </w:rPr>
              <w:t>，其中包含蔬菜、</w:t>
            </w:r>
            <w:r>
              <w:rPr>
                <w:rFonts w:ascii="仿宋_GB2312" w:hAnsi="仿宋_GB2312" w:cs="仿宋_GB2312" w:eastAsia="仿宋_GB2312"/>
                <w:sz w:val="24"/>
              </w:rPr>
              <w:t>水</w:t>
            </w:r>
            <w:r>
              <w:rPr>
                <w:rFonts w:ascii="仿宋_GB2312" w:hAnsi="仿宋_GB2312" w:cs="仿宋_GB2312" w:eastAsia="仿宋_GB2312"/>
                <w:sz w:val="24"/>
              </w:rPr>
              <w:t>果、鲜肉、水产、冻品、干货、调料、米面油等其他零星采购。</w:t>
            </w:r>
          </w:p>
          <w:p>
            <w:pPr>
              <w:pStyle w:val="null3"/>
              <w:jc w:val="left"/>
            </w:pPr>
            <w:r>
              <w:rPr>
                <w:rFonts w:ascii="仿宋_GB2312" w:hAnsi="仿宋_GB2312" w:cs="仿宋_GB2312" w:eastAsia="仿宋_GB2312"/>
                <w:sz w:val="24"/>
              </w:rPr>
              <w:t>2.采购食材要求：所有食材均需符合《中华人民共和国食品安全法》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二、服务内容</w:t>
            </w:r>
          </w:p>
          <w:p>
            <w:pPr>
              <w:pStyle w:val="null3"/>
              <w:ind w:firstLine="480"/>
              <w:jc w:val="left"/>
            </w:pPr>
            <w:r>
              <w:rPr>
                <w:rFonts w:ascii="仿宋_GB2312" w:hAnsi="仿宋_GB2312" w:cs="仿宋_GB2312" w:eastAsia="仿宋_GB2312"/>
                <w:sz w:val="24"/>
              </w:rPr>
              <w:t>主要为街道食堂配送米、面粉、杂粮、食用油、干货、调料、调味品、乳制品、日杂，蔬菜、水果、禽蛋、冻货、肉制品、水产品，满足每日</w:t>
            </w:r>
            <w:r>
              <w:rPr>
                <w:rFonts w:ascii="仿宋_GB2312" w:hAnsi="仿宋_GB2312" w:cs="仿宋_GB2312" w:eastAsia="仿宋_GB2312"/>
                <w:sz w:val="24"/>
              </w:rPr>
              <w:t>200 人用餐需求。供应商每日在约定时间提供新鲜食材及原料，保证食品高标准、高品质供应。</w:t>
            </w:r>
          </w:p>
          <w:p>
            <w:pPr>
              <w:pStyle w:val="null3"/>
              <w:jc w:val="left"/>
            </w:pPr>
            <w:r>
              <w:rPr>
                <w:rFonts w:ascii="仿宋_GB2312" w:hAnsi="仿宋_GB2312" w:cs="仿宋_GB2312" w:eastAsia="仿宋_GB2312"/>
                <w:sz w:val="24"/>
              </w:rPr>
              <w:t>三、服务期：</w:t>
            </w:r>
            <w:r>
              <w:rPr>
                <w:rFonts w:ascii="仿宋_GB2312" w:hAnsi="仿宋_GB2312" w:cs="仿宋_GB2312" w:eastAsia="仿宋_GB2312"/>
                <w:sz w:val="24"/>
              </w:rPr>
              <w:t>自合同签订之日起一年，按需配送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四、供货地点：采购方指定地点</w:t>
            </w:r>
          </w:p>
          <w:p>
            <w:pPr>
              <w:pStyle w:val="null3"/>
              <w:jc w:val="left"/>
            </w:pPr>
            <w:r>
              <w:rPr>
                <w:rFonts w:ascii="仿宋_GB2312" w:hAnsi="仿宋_GB2312" w:cs="仿宋_GB2312" w:eastAsia="仿宋_GB2312"/>
                <w:sz w:val="24"/>
              </w:rPr>
              <w:t>五、规格要求：</w:t>
            </w:r>
          </w:p>
          <w:p>
            <w:pPr>
              <w:pStyle w:val="null3"/>
              <w:jc w:val="left"/>
            </w:pPr>
            <w:r>
              <w:rPr>
                <w:rFonts w:ascii="仿宋_GB2312" w:hAnsi="仿宋_GB2312" w:cs="仿宋_GB2312" w:eastAsia="仿宋_GB2312"/>
                <w:sz w:val="24"/>
              </w:rPr>
              <w:t>1.大米：</w:t>
            </w:r>
            <w:r>
              <w:rPr>
                <w:rFonts w:ascii="仿宋_GB2312" w:hAnsi="仿宋_GB2312" w:cs="仿宋_GB2312" w:eastAsia="仿宋_GB2312"/>
                <w:sz w:val="24"/>
              </w:rPr>
              <w:t>包装要求</w:t>
            </w:r>
            <w:r>
              <w:rPr>
                <w:rFonts w:ascii="仿宋_GB2312" w:hAnsi="仿宋_GB2312" w:cs="仿宋_GB2312" w:eastAsia="仿宋_GB2312"/>
                <w:sz w:val="24"/>
              </w:rPr>
              <w:t>：</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每袋</w:t>
            </w:r>
            <w:r>
              <w:rPr>
                <w:rFonts w:ascii="仿宋_GB2312" w:hAnsi="仿宋_GB2312" w:cs="仿宋_GB2312" w:eastAsia="仿宋_GB2312"/>
                <w:sz w:val="24"/>
              </w:rPr>
              <w:t>25KG,质量符合国家标准GB1354-2009</w:t>
            </w:r>
            <w:r>
              <w:rPr>
                <w:rFonts w:ascii="仿宋_GB2312" w:hAnsi="仿宋_GB2312" w:cs="仿宋_GB2312" w:eastAsia="仿宋_GB2312"/>
                <w:sz w:val="24"/>
              </w:rPr>
              <w:t>一</w:t>
            </w:r>
            <w:r>
              <w:rPr>
                <w:rFonts w:ascii="仿宋_GB2312" w:hAnsi="仿宋_GB2312" w:cs="仿宋_GB2312" w:eastAsia="仿宋_GB2312"/>
                <w:sz w:val="24"/>
              </w:rPr>
              <w:t>级粳米标准要求</w:t>
            </w:r>
            <w:r>
              <w:rPr>
                <w:rFonts w:ascii="仿宋_GB2312" w:hAnsi="仿宋_GB2312" w:cs="仿宋_GB2312" w:eastAsia="仿宋_GB2312"/>
                <w:sz w:val="24"/>
              </w:rPr>
              <w:t>；</w:t>
            </w:r>
            <w:r>
              <w:rPr>
                <w:rFonts w:ascii="仿宋_GB2312" w:hAnsi="仿宋_GB2312" w:cs="仿宋_GB2312" w:eastAsia="仿宋_GB2312"/>
                <w:sz w:val="24"/>
              </w:rPr>
              <w:t>原料为</w:t>
            </w:r>
            <w:r>
              <w:rPr>
                <w:rFonts w:ascii="仿宋_GB2312" w:hAnsi="仿宋_GB2312" w:cs="仿宋_GB2312" w:eastAsia="仿宋_GB2312"/>
                <w:sz w:val="24"/>
              </w:rPr>
              <w:t>100%非转基因水稻，便于运输，储存，外包装上必须标明生产日期</w:t>
            </w:r>
            <w:r>
              <w:rPr>
                <w:rFonts w:ascii="仿宋_GB2312" w:hAnsi="仿宋_GB2312" w:cs="仿宋_GB2312" w:eastAsia="仿宋_GB2312"/>
                <w:sz w:val="24"/>
              </w:rPr>
              <w:t>、</w:t>
            </w:r>
            <w:r>
              <w:rPr>
                <w:rFonts w:ascii="仿宋_GB2312" w:hAnsi="仿宋_GB2312" w:cs="仿宋_GB2312" w:eastAsia="仿宋_GB2312"/>
                <w:sz w:val="24"/>
              </w:rPr>
              <w:t>保质期</w:t>
            </w:r>
            <w:r>
              <w:rPr>
                <w:rFonts w:ascii="仿宋_GB2312" w:hAnsi="仿宋_GB2312" w:cs="仿宋_GB2312" w:eastAsia="仿宋_GB2312"/>
                <w:sz w:val="24"/>
              </w:rPr>
              <w:t>、</w:t>
            </w:r>
            <w:r>
              <w:rPr>
                <w:rFonts w:ascii="仿宋_GB2312" w:hAnsi="仿宋_GB2312" w:cs="仿宋_GB2312" w:eastAsia="仿宋_GB2312"/>
                <w:sz w:val="24"/>
              </w:rPr>
              <w:t>执行标准</w:t>
            </w:r>
            <w:r>
              <w:rPr>
                <w:rFonts w:ascii="仿宋_GB2312" w:hAnsi="仿宋_GB2312" w:cs="仿宋_GB2312" w:eastAsia="仿宋_GB2312"/>
                <w:sz w:val="24"/>
              </w:rPr>
              <w:t>、</w:t>
            </w:r>
            <w:r>
              <w:rPr>
                <w:rFonts w:ascii="仿宋_GB2312" w:hAnsi="仿宋_GB2312" w:cs="仿宋_GB2312" w:eastAsia="仿宋_GB2312"/>
                <w:sz w:val="24"/>
              </w:rPr>
              <w:t>储存条件</w:t>
            </w:r>
            <w:r>
              <w:rPr>
                <w:rFonts w:ascii="仿宋_GB2312" w:hAnsi="仿宋_GB2312" w:cs="仿宋_GB2312" w:eastAsia="仿宋_GB2312"/>
                <w:sz w:val="24"/>
              </w:rPr>
              <w:t>、</w:t>
            </w:r>
            <w:r>
              <w:rPr>
                <w:rFonts w:ascii="仿宋_GB2312" w:hAnsi="仿宋_GB2312" w:cs="仿宋_GB2312" w:eastAsia="仿宋_GB2312"/>
                <w:sz w:val="24"/>
              </w:rPr>
              <w:t>生产厂家</w:t>
            </w:r>
            <w:r>
              <w:rPr>
                <w:rFonts w:ascii="仿宋_GB2312" w:hAnsi="仿宋_GB2312" w:cs="仿宋_GB2312" w:eastAsia="仿宋_GB2312"/>
                <w:sz w:val="24"/>
              </w:rPr>
              <w:t>、</w:t>
            </w:r>
            <w:r>
              <w:rPr>
                <w:rFonts w:ascii="仿宋_GB2312" w:hAnsi="仿宋_GB2312" w:cs="仿宋_GB2312" w:eastAsia="仿宋_GB2312"/>
                <w:sz w:val="24"/>
              </w:rPr>
              <w:t>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面粉</w:t>
            </w:r>
            <w:r>
              <w:rPr>
                <w:rFonts w:ascii="仿宋_GB2312" w:hAnsi="仿宋_GB2312" w:cs="仿宋_GB2312" w:eastAsia="仿宋_GB2312"/>
                <w:sz w:val="24"/>
              </w:rPr>
              <w:t>：</w:t>
            </w:r>
            <w:r>
              <w:rPr>
                <w:rFonts w:ascii="仿宋_GB2312" w:hAnsi="仿宋_GB2312" w:cs="仿宋_GB2312" w:eastAsia="仿宋_GB2312"/>
                <w:sz w:val="24"/>
              </w:rPr>
              <w:t>不含任何添加剂，包装要求</w:t>
            </w:r>
            <w:r>
              <w:rPr>
                <w:rFonts w:ascii="仿宋_GB2312" w:hAnsi="仿宋_GB2312" w:cs="仿宋_GB2312" w:eastAsia="仿宋_GB2312"/>
                <w:sz w:val="24"/>
              </w:rPr>
              <w:t>：</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每袋</w:t>
            </w:r>
            <w:r>
              <w:rPr>
                <w:rFonts w:ascii="仿宋_GB2312" w:hAnsi="仿宋_GB2312" w:cs="仿宋_GB2312" w:eastAsia="仿宋_GB2312"/>
                <w:sz w:val="24"/>
              </w:rPr>
              <w:t>25KG</w:t>
            </w:r>
            <w:r>
              <w:rPr>
                <w:rFonts w:ascii="仿宋_GB2312" w:hAnsi="仿宋_GB2312" w:cs="仿宋_GB2312" w:eastAsia="仿宋_GB2312"/>
                <w:sz w:val="24"/>
              </w:rPr>
              <w:t>，</w:t>
            </w:r>
            <w:r>
              <w:rPr>
                <w:rFonts w:ascii="仿宋_GB2312" w:hAnsi="仿宋_GB2312" w:cs="仿宋_GB2312" w:eastAsia="仿宋_GB2312"/>
                <w:sz w:val="24"/>
              </w:rPr>
              <w:t>质量符合国家标准</w:t>
            </w:r>
            <w:r>
              <w:rPr>
                <w:rFonts w:ascii="仿宋_GB2312" w:hAnsi="仿宋_GB2312" w:cs="仿宋_GB2312" w:eastAsia="仿宋_GB2312"/>
                <w:sz w:val="24"/>
              </w:rPr>
              <w:t xml:space="preserve"> GB1355-1986特制一等标准要求</w:t>
            </w:r>
            <w:r>
              <w:rPr>
                <w:rFonts w:ascii="仿宋_GB2312" w:hAnsi="仿宋_GB2312" w:cs="仿宋_GB2312" w:eastAsia="仿宋_GB2312"/>
                <w:sz w:val="24"/>
              </w:rPr>
              <w:t>；</w:t>
            </w:r>
            <w:r>
              <w:rPr>
                <w:rFonts w:ascii="仿宋_GB2312" w:hAnsi="仿宋_GB2312" w:cs="仿宋_GB2312" w:eastAsia="仿宋_GB2312"/>
                <w:sz w:val="24"/>
              </w:rPr>
              <w:t>原料为</w:t>
            </w:r>
            <w:r>
              <w:rPr>
                <w:rFonts w:ascii="仿宋_GB2312" w:hAnsi="仿宋_GB2312" w:cs="仿宋_GB2312" w:eastAsia="仿宋_GB2312"/>
                <w:sz w:val="24"/>
              </w:rPr>
              <w:t>100%非转基因小麦，便于运输</w:t>
            </w:r>
            <w:r>
              <w:rPr>
                <w:rFonts w:ascii="仿宋_GB2312" w:hAnsi="仿宋_GB2312" w:cs="仿宋_GB2312" w:eastAsia="仿宋_GB2312"/>
                <w:sz w:val="24"/>
              </w:rPr>
              <w:t>、</w:t>
            </w:r>
            <w:r>
              <w:rPr>
                <w:rFonts w:ascii="仿宋_GB2312" w:hAnsi="仿宋_GB2312" w:cs="仿宋_GB2312" w:eastAsia="仿宋_GB2312"/>
                <w:sz w:val="24"/>
              </w:rPr>
              <w:t>储存，外包装上必须标明生产日期</w:t>
            </w:r>
            <w:r>
              <w:rPr>
                <w:rFonts w:ascii="仿宋_GB2312" w:hAnsi="仿宋_GB2312" w:cs="仿宋_GB2312" w:eastAsia="仿宋_GB2312"/>
                <w:sz w:val="24"/>
              </w:rPr>
              <w:t>、</w:t>
            </w:r>
            <w:r>
              <w:rPr>
                <w:rFonts w:ascii="仿宋_GB2312" w:hAnsi="仿宋_GB2312" w:cs="仿宋_GB2312" w:eastAsia="仿宋_GB2312"/>
                <w:sz w:val="24"/>
              </w:rPr>
              <w:t>保质期</w:t>
            </w:r>
            <w:r>
              <w:rPr>
                <w:rFonts w:ascii="仿宋_GB2312" w:hAnsi="仿宋_GB2312" w:cs="仿宋_GB2312" w:eastAsia="仿宋_GB2312"/>
                <w:sz w:val="24"/>
              </w:rPr>
              <w:t>、</w:t>
            </w:r>
            <w:r>
              <w:rPr>
                <w:rFonts w:ascii="仿宋_GB2312" w:hAnsi="仿宋_GB2312" w:cs="仿宋_GB2312" w:eastAsia="仿宋_GB2312"/>
                <w:sz w:val="24"/>
              </w:rPr>
              <w:t>执行标准</w:t>
            </w:r>
            <w:r>
              <w:rPr>
                <w:rFonts w:ascii="仿宋_GB2312" w:hAnsi="仿宋_GB2312" w:cs="仿宋_GB2312" w:eastAsia="仿宋_GB2312"/>
                <w:sz w:val="24"/>
              </w:rPr>
              <w:t>、</w:t>
            </w:r>
            <w:r>
              <w:rPr>
                <w:rFonts w:ascii="仿宋_GB2312" w:hAnsi="仿宋_GB2312" w:cs="仿宋_GB2312" w:eastAsia="仿宋_GB2312"/>
                <w:sz w:val="24"/>
              </w:rPr>
              <w:t>储存条件</w:t>
            </w:r>
            <w:r>
              <w:rPr>
                <w:rFonts w:ascii="仿宋_GB2312" w:hAnsi="仿宋_GB2312" w:cs="仿宋_GB2312" w:eastAsia="仿宋_GB2312"/>
                <w:sz w:val="24"/>
              </w:rPr>
              <w:t>、</w:t>
            </w:r>
            <w:r>
              <w:rPr>
                <w:rFonts w:ascii="仿宋_GB2312" w:hAnsi="仿宋_GB2312" w:cs="仿宋_GB2312" w:eastAsia="仿宋_GB2312"/>
                <w:sz w:val="24"/>
              </w:rPr>
              <w:t>生产厂家产地等。</w:t>
            </w:r>
          </w:p>
          <w:p>
            <w:pPr>
              <w:pStyle w:val="null3"/>
              <w:jc w:val="left"/>
            </w:pPr>
            <w:r>
              <w:rPr>
                <w:rFonts w:ascii="仿宋_GB2312" w:hAnsi="仿宋_GB2312" w:cs="仿宋_GB2312" w:eastAsia="仿宋_GB2312"/>
                <w:sz w:val="24"/>
              </w:rPr>
              <w:t>3.食用油</w:t>
            </w:r>
            <w:r>
              <w:rPr>
                <w:rFonts w:ascii="仿宋_GB2312" w:hAnsi="仿宋_GB2312" w:cs="仿宋_GB2312" w:eastAsia="仿宋_GB2312"/>
                <w:sz w:val="24"/>
              </w:rPr>
              <w:t>：</w:t>
            </w:r>
            <w:r>
              <w:rPr>
                <w:rFonts w:ascii="仿宋_GB2312" w:hAnsi="仿宋_GB2312" w:cs="仿宋_GB2312" w:eastAsia="仿宋_GB2312"/>
                <w:sz w:val="24"/>
              </w:rPr>
              <w:t>包装要求</w:t>
            </w:r>
            <w:r>
              <w:rPr>
                <w:rFonts w:ascii="仿宋_GB2312" w:hAnsi="仿宋_GB2312" w:cs="仿宋_GB2312" w:eastAsia="仿宋_GB2312"/>
                <w:sz w:val="24"/>
              </w:rPr>
              <w:t>：</w:t>
            </w:r>
            <w:r>
              <w:rPr>
                <w:rFonts w:ascii="仿宋_GB2312" w:hAnsi="仿宋_GB2312" w:cs="仿宋_GB2312" w:eastAsia="仿宋_GB2312"/>
                <w:sz w:val="24"/>
              </w:rPr>
              <w:t>独立包装</w:t>
            </w:r>
            <w:r>
              <w:rPr>
                <w:rFonts w:ascii="仿宋_GB2312" w:hAnsi="仿宋_GB2312" w:cs="仿宋_GB2312" w:eastAsia="仿宋_GB2312"/>
                <w:sz w:val="24"/>
              </w:rPr>
              <w:t>、</w:t>
            </w:r>
            <w:r>
              <w:rPr>
                <w:rFonts w:ascii="仿宋_GB2312" w:hAnsi="仿宋_GB2312" w:cs="仿宋_GB2312" w:eastAsia="仿宋_GB2312"/>
                <w:sz w:val="24"/>
              </w:rPr>
              <w:t>每桶</w:t>
            </w:r>
            <w:r>
              <w:rPr>
                <w:rFonts w:ascii="仿宋_GB2312" w:hAnsi="仿宋_GB2312" w:cs="仿宋_GB2312" w:eastAsia="仿宋_GB2312"/>
                <w:sz w:val="24"/>
              </w:rPr>
              <w:t>≥</w:t>
            </w:r>
            <w:r>
              <w:rPr>
                <w:rFonts w:ascii="仿宋_GB2312" w:hAnsi="仿宋_GB2312" w:cs="仿宋_GB2312" w:eastAsia="仿宋_GB2312"/>
                <w:sz w:val="24"/>
              </w:rPr>
              <w:t>10L/桶，非转基因菜籽油，不接受菜籽调和油，采取物理压榨工艺生产，不得采用化学浸出工艺生产，质量符合食用油国家一级油标准要求。外包装上必须标明生产日期</w:t>
            </w:r>
            <w:r>
              <w:rPr>
                <w:rFonts w:ascii="仿宋_GB2312" w:hAnsi="仿宋_GB2312" w:cs="仿宋_GB2312" w:eastAsia="仿宋_GB2312"/>
                <w:sz w:val="24"/>
              </w:rPr>
              <w:t>、</w:t>
            </w:r>
            <w:r>
              <w:rPr>
                <w:rFonts w:ascii="仿宋_GB2312" w:hAnsi="仿宋_GB2312" w:cs="仿宋_GB2312" w:eastAsia="仿宋_GB2312"/>
                <w:sz w:val="24"/>
              </w:rPr>
              <w:t>保质期</w:t>
            </w:r>
            <w:r>
              <w:rPr>
                <w:rFonts w:ascii="仿宋_GB2312" w:hAnsi="仿宋_GB2312" w:cs="仿宋_GB2312" w:eastAsia="仿宋_GB2312"/>
                <w:sz w:val="24"/>
              </w:rPr>
              <w:t>、</w:t>
            </w:r>
            <w:r>
              <w:rPr>
                <w:rFonts w:ascii="仿宋_GB2312" w:hAnsi="仿宋_GB2312" w:cs="仿宋_GB2312" w:eastAsia="仿宋_GB2312"/>
                <w:sz w:val="24"/>
              </w:rPr>
              <w:t>执行标准</w:t>
            </w:r>
            <w:r>
              <w:rPr>
                <w:rFonts w:ascii="仿宋_GB2312" w:hAnsi="仿宋_GB2312" w:cs="仿宋_GB2312" w:eastAsia="仿宋_GB2312"/>
                <w:sz w:val="24"/>
              </w:rPr>
              <w:t>、</w:t>
            </w:r>
            <w:r>
              <w:rPr>
                <w:rFonts w:ascii="仿宋_GB2312" w:hAnsi="仿宋_GB2312" w:cs="仿宋_GB2312" w:eastAsia="仿宋_GB2312"/>
                <w:sz w:val="24"/>
              </w:rPr>
              <w:t>储存条件</w:t>
            </w:r>
            <w:r>
              <w:rPr>
                <w:rFonts w:ascii="仿宋_GB2312" w:hAnsi="仿宋_GB2312" w:cs="仿宋_GB2312" w:eastAsia="仿宋_GB2312"/>
                <w:sz w:val="24"/>
              </w:rPr>
              <w:t>、</w:t>
            </w:r>
            <w:r>
              <w:rPr>
                <w:rFonts w:ascii="仿宋_GB2312" w:hAnsi="仿宋_GB2312" w:cs="仿宋_GB2312" w:eastAsia="仿宋_GB2312"/>
                <w:sz w:val="24"/>
              </w:rPr>
              <w:t>生产厂家</w:t>
            </w:r>
            <w:r>
              <w:rPr>
                <w:rFonts w:ascii="仿宋_GB2312" w:hAnsi="仿宋_GB2312" w:cs="仿宋_GB2312" w:eastAsia="仿宋_GB2312"/>
                <w:sz w:val="24"/>
              </w:rPr>
              <w:t>、</w:t>
            </w:r>
            <w:r>
              <w:rPr>
                <w:rFonts w:ascii="仿宋_GB2312" w:hAnsi="仿宋_GB2312" w:cs="仿宋_GB2312" w:eastAsia="仿宋_GB2312"/>
                <w:sz w:val="24"/>
              </w:rPr>
              <w:t>产地等。</w:t>
            </w:r>
          </w:p>
          <w:p>
            <w:pPr>
              <w:pStyle w:val="null3"/>
              <w:jc w:val="left"/>
            </w:pPr>
            <w:r>
              <w:rPr>
                <w:rFonts w:ascii="仿宋_GB2312" w:hAnsi="仿宋_GB2312" w:cs="仿宋_GB2312" w:eastAsia="仿宋_GB2312"/>
                <w:sz w:val="24"/>
              </w:rPr>
              <w:t>4.干货、调味品及其他类供货</w:t>
            </w:r>
            <w:r>
              <w:rPr>
                <w:rFonts w:ascii="仿宋_GB2312" w:hAnsi="仿宋_GB2312" w:cs="仿宋_GB2312" w:eastAsia="仿宋_GB2312"/>
                <w:sz w:val="24"/>
              </w:rPr>
              <w:t>：</w:t>
            </w:r>
            <w:r>
              <w:rPr>
                <w:rFonts w:ascii="仿宋_GB2312" w:hAnsi="仿宋_GB2312" w:cs="仿宋_GB2312" w:eastAsia="仿宋_GB2312"/>
                <w:sz w:val="24"/>
              </w:rPr>
              <w:t>产品无发霉、无变质、无变味、不掺杂、不掺假、不掺水、干货无受</w:t>
            </w:r>
            <w:r>
              <w:rPr>
                <w:rFonts w:ascii="仿宋_GB2312" w:hAnsi="仿宋_GB2312" w:cs="仿宋_GB2312" w:eastAsia="仿宋_GB2312"/>
                <w:sz w:val="24"/>
              </w:rPr>
              <w:t>潮；</w:t>
            </w:r>
            <w:r>
              <w:rPr>
                <w:rFonts w:ascii="仿宋_GB2312" w:hAnsi="仿宋_GB2312" w:cs="仿宋_GB2312" w:eastAsia="仿宋_GB2312"/>
                <w:sz w:val="24"/>
              </w:rPr>
              <w:t>产品包装应该有产品名称、厂名、厂址或出产地等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5.蔬菜供货</w:t>
            </w:r>
            <w:r>
              <w:rPr>
                <w:rFonts w:ascii="仿宋_GB2312" w:hAnsi="仿宋_GB2312" w:cs="仿宋_GB2312" w:eastAsia="仿宋_GB2312"/>
                <w:sz w:val="24"/>
              </w:rPr>
              <w:t>：</w:t>
            </w:r>
            <w:r>
              <w:rPr>
                <w:rFonts w:ascii="仿宋_GB2312" w:hAnsi="仿宋_GB2312" w:cs="仿宋_GB2312" w:eastAsia="仿宋_GB2312"/>
                <w:sz w:val="24"/>
              </w:rPr>
              <w:t>供应商销售给采购人的蔬菜应当是新鲜、青嫩、干净、无腐烂、无杂质无杂草、无黄叶、无老叶、无浸水泡水或注水等。新鲜指各类蔬菜无腐烂、变质、无臭水味、无糟软状态，尤其是黄、绿豆芽鲜菌类应保持应有的新鲜度</w:t>
            </w:r>
            <w:r>
              <w:rPr>
                <w:rFonts w:ascii="仿宋_GB2312" w:hAnsi="仿宋_GB2312" w:cs="仿宋_GB2312" w:eastAsia="仿宋_GB2312"/>
                <w:sz w:val="24"/>
              </w:rPr>
              <w:t>；</w:t>
            </w:r>
            <w:r>
              <w:rPr>
                <w:rFonts w:ascii="仿宋_GB2312" w:hAnsi="仿宋_GB2312" w:cs="仿宋_GB2312" w:eastAsia="仿宋_GB2312"/>
                <w:sz w:val="24"/>
              </w:rPr>
              <w:t>青嫩是指绝大多数蔬菜</w:t>
            </w:r>
            <w:r>
              <w:rPr>
                <w:rFonts w:ascii="仿宋_GB2312" w:hAnsi="仿宋_GB2312" w:cs="仿宋_GB2312" w:eastAsia="仿宋_GB2312"/>
                <w:sz w:val="24"/>
              </w:rPr>
              <w:t>(除冬瓜、南瓜等外)不但青而且嫩</w:t>
            </w:r>
            <w:r>
              <w:rPr>
                <w:rFonts w:ascii="仿宋_GB2312" w:hAnsi="仿宋_GB2312" w:cs="仿宋_GB2312" w:eastAsia="仿宋_GB2312"/>
                <w:sz w:val="24"/>
              </w:rPr>
              <w:t>；</w:t>
            </w:r>
            <w:r>
              <w:rPr>
                <w:rFonts w:ascii="仿宋_GB2312" w:hAnsi="仿宋_GB2312" w:cs="仿宋_GB2312" w:eastAsia="仿宋_GB2312"/>
                <w:sz w:val="24"/>
              </w:rPr>
              <w:t>豆角类及葫芦瓜等要保持青色，外壳不能呈白色</w:t>
            </w:r>
            <w:r>
              <w:rPr>
                <w:rFonts w:ascii="仿宋_GB2312" w:hAnsi="仿宋_GB2312" w:cs="仿宋_GB2312" w:eastAsia="仿宋_GB2312"/>
                <w:sz w:val="24"/>
              </w:rPr>
              <w:t>；</w:t>
            </w:r>
            <w:r>
              <w:rPr>
                <w:rFonts w:ascii="仿宋_GB2312" w:hAnsi="仿宋_GB2312" w:cs="仿宋_GB2312" w:eastAsia="仿宋_GB2312"/>
                <w:sz w:val="24"/>
              </w:rPr>
              <w:t>青菜类和白菜类的外叶折断时不能有丝相连不断连的现象</w:t>
            </w:r>
            <w:r>
              <w:rPr>
                <w:rFonts w:ascii="仿宋_GB2312" w:hAnsi="仿宋_GB2312" w:cs="仿宋_GB2312" w:eastAsia="仿宋_GB2312"/>
                <w:sz w:val="24"/>
              </w:rPr>
              <w:t>；</w:t>
            </w:r>
            <w:r>
              <w:rPr>
                <w:rFonts w:ascii="仿宋_GB2312" w:hAnsi="仿宋_GB2312" w:cs="仿宋_GB2312" w:eastAsia="仿宋_GB2312"/>
                <w:sz w:val="24"/>
              </w:rPr>
              <w:t>丝瓜、苦瓜等折而易断</w:t>
            </w:r>
            <w:r>
              <w:rPr>
                <w:rFonts w:ascii="仿宋_GB2312" w:hAnsi="仿宋_GB2312" w:cs="仿宋_GB2312" w:eastAsia="仿宋_GB2312"/>
                <w:sz w:val="24"/>
              </w:rPr>
              <w:t>；</w:t>
            </w:r>
            <w:r>
              <w:rPr>
                <w:rFonts w:ascii="仿宋_GB2312" w:hAnsi="仿宋_GB2312" w:cs="仿宋_GB2312" w:eastAsia="仿宋_GB2312"/>
                <w:sz w:val="24"/>
              </w:rPr>
              <w:t>鲜蒜叶子不黄，头部与杆部一般大小相同</w:t>
            </w:r>
            <w:r>
              <w:rPr>
                <w:rFonts w:ascii="仿宋_GB2312" w:hAnsi="仿宋_GB2312" w:cs="仿宋_GB2312" w:eastAsia="仿宋_GB2312"/>
                <w:sz w:val="24"/>
              </w:rPr>
              <w:t>；干净</w:t>
            </w:r>
            <w:r>
              <w:rPr>
                <w:rFonts w:ascii="仿宋_GB2312" w:hAnsi="仿宋_GB2312" w:cs="仿宋_GB2312" w:eastAsia="仿宋_GB2312"/>
                <w:sz w:val="24"/>
              </w:rPr>
              <w:t>、无杂质、无杂草泛指各类蔬菜，特别是根</w:t>
            </w:r>
            <w:r>
              <w:rPr>
                <w:rFonts w:ascii="仿宋_GB2312" w:hAnsi="仿宋_GB2312" w:cs="仿宋_GB2312" w:eastAsia="仿宋_GB2312"/>
                <w:sz w:val="24"/>
              </w:rPr>
              <w:t>(块)茎类的蔬菜不能有泥巴，鲜</w:t>
            </w:r>
            <w:r>
              <w:rPr>
                <w:rFonts w:ascii="仿宋_GB2312" w:hAnsi="仿宋_GB2312" w:cs="仿宋_GB2312" w:eastAsia="仿宋_GB2312"/>
                <w:sz w:val="24"/>
              </w:rPr>
              <w:t>蒜</w:t>
            </w:r>
            <w:r>
              <w:rPr>
                <w:rFonts w:ascii="仿宋_GB2312" w:hAnsi="仿宋_GB2312" w:cs="仿宋_GB2312" w:eastAsia="仿宋_GB2312"/>
                <w:sz w:val="24"/>
              </w:rPr>
              <w:t>、香葱、香菜、洋葱等的根部要干净</w:t>
            </w:r>
            <w:r>
              <w:rPr>
                <w:rFonts w:ascii="仿宋_GB2312" w:hAnsi="仿宋_GB2312" w:cs="仿宋_GB2312" w:eastAsia="仿宋_GB2312"/>
                <w:sz w:val="24"/>
              </w:rPr>
              <w:t>;无黄叶、老叶主要指青菜、白菜类不能有老叶，鲜蒜、香葱等的杆部应当见白</w:t>
            </w:r>
            <w:r>
              <w:rPr>
                <w:rFonts w:ascii="仿宋_GB2312" w:hAnsi="仿宋_GB2312" w:cs="仿宋_GB2312" w:eastAsia="仿宋_GB2312"/>
                <w:sz w:val="24"/>
              </w:rPr>
              <w:t>；</w:t>
            </w:r>
            <w:r>
              <w:rPr>
                <w:rFonts w:ascii="仿宋_GB2312" w:hAnsi="仿宋_GB2312" w:cs="仿宋_GB2312" w:eastAsia="仿宋_GB2312"/>
                <w:sz w:val="24"/>
              </w:rPr>
              <w:t>无浸水、泡水或注水主要指白菜类</w:t>
            </w:r>
            <w:r>
              <w:rPr>
                <w:rFonts w:ascii="仿宋_GB2312" w:hAnsi="仿宋_GB2312" w:cs="仿宋_GB2312" w:eastAsia="仿宋_GB2312"/>
                <w:sz w:val="24"/>
              </w:rPr>
              <w:t>(含花菜)、瓜果类、鲜菌类及根(块)茎类蔬菜不能浸水、泡水或注水</w:t>
            </w:r>
            <w:r>
              <w:rPr>
                <w:rFonts w:ascii="仿宋_GB2312" w:hAnsi="仿宋_GB2312" w:cs="仿宋_GB2312" w:eastAsia="仿宋_GB2312"/>
                <w:sz w:val="24"/>
              </w:rPr>
              <w:t>；</w:t>
            </w:r>
            <w:r>
              <w:rPr>
                <w:rFonts w:ascii="仿宋_GB2312" w:hAnsi="仿宋_GB2312" w:cs="仿宋_GB2312" w:eastAsia="仿宋_GB2312"/>
                <w:sz w:val="24"/>
              </w:rPr>
              <w:t>净菜率须在</w:t>
            </w:r>
            <w:r>
              <w:rPr>
                <w:rFonts w:ascii="仿宋_GB2312" w:hAnsi="仿宋_GB2312" w:cs="仿宋_GB2312" w:eastAsia="仿宋_GB2312"/>
                <w:sz w:val="24"/>
              </w:rPr>
              <w:t xml:space="preserve"> 95%以上。</w:t>
            </w:r>
          </w:p>
          <w:p>
            <w:pPr>
              <w:pStyle w:val="null3"/>
              <w:jc w:val="left"/>
            </w:pPr>
            <w:r>
              <w:rPr>
                <w:rFonts w:ascii="仿宋_GB2312" w:hAnsi="仿宋_GB2312" w:cs="仿宋_GB2312" w:eastAsia="仿宋_GB2312"/>
                <w:sz w:val="24"/>
              </w:rPr>
              <w:t>6.肉制品类供货</w:t>
            </w:r>
            <w:r>
              <w:rPr>
                <w:rFonts w:ascii="仿宋_GB2312" w:hAnsi="仿宋_GB2312" w:cs="仿宋_GB2312" w:eastAsia="仿宋_GB2312"/>
                <w:sz w:val="24"/>
              </w:rPr>
              <w:t>：产品</w:t>
            </w:r>
            <w:r>
              <w:rPr>
                <w:rFonts w:ascii="仿宋_GB2312" w:hAnsi="仿宋_GB2312" w:cs="仿宋_GB2312" w:eastAsia="仿宋_GB2312"/>
                <w:sz w:val="24"/>
              </w:rPr>
              <w:t>为在政府规定的屠宰场所屠杀的生鲜禽畜肉</w:t>
            </w:r>
            <w:r>
              <w:rPr>
                <w:rFonts w:ascii="仿宋_GB2312" w:hAnsi="仿宋_GB2312" w:cs="仿宋_GB2312" w:eastAsia="仿宋_GB2312"/>
                <w:sz w:val="24"/>
              </w:rPr>
              <w:t>；</w:t>
            </w:r>
            <w:r>
              <w:rPr>
                <w:rFonts w:ascii="仿宋_GB2312" w:hAnsi="仿宋_GB2312" w:cs="仿宋_GB2312" w:eastAsia="仿宋_GB2312"/>
                <w:sz w:val="24"/>
              </w:rPr>
              <w:t>产品应符合国家食品安全标准</w:t>
            </w:r>
            <w:r>
              <w:rPr>
                <w:rFonts w:ascii="仿宋_GB2312" w:hAnsi="仿宋_GB2312" w:cs="仿宋_GB2312" w:eastAsia="仿宋_GB2312"/>
                <w:sz w:val="24"/>
              </w:rPr>
              <w:t>；</w:t>
            </w:r>
            <w:r>
              <w:rPr>
                <w:rFonts w:ascii="仿宋_GB2312" w:hAnsi="仿宋_GB2312" w:cs="仿宋_GB2312" w:eastAsia="仿宋_GB2312"/>
                <w:sz w:val="24"/>
              </w:rPr>
              <w:t>产品非病死禽畜肉</w:t>
            </w:r>
            <w:r>
              <w:rPr>
                <w:rFonts w:ascii="仿宋_GB2312" w:hAnsi="仿宋_GB2312" w:cs="仿宋_GB2312" w:eastAsia="仿宋_GB2312"/>
                <w:sz w:val="24"/>
              </w:rPr>
              <w:t>；</w:t>
            </w:r>
            <w:r>
              <w:rPr>
                <w:rFonts w:ascii="仿宋_GB2312" w:hAnsi="仿宋_GB2312" w:cs="仿宋_GB2312" w:eastAsia="仿宋_GB2312"/>
                <w:sz w:val="24"/>
              </w:rPr>
              <w:t>产品非</w:t>
            </w:r>
            <w:r>
              <w:rPr>
                <w:rFonts w:ascii="仿宋_GB2312" w:hAnsi="仿宋_GB2312" w:cs="仿宋_GB2312" w:eastAsia="仿宋_GB2312"/>
                <w:sz w:val="24"/>
              </w:rPr>
              <w:t>“注水”禽畜肉、母猪肉、老猪肉</w:t>
            </w:r>
            <w:r>
              <w:rPr>
                <w:rFonts w:ascii="仿宋_GB2312" w:hAnsi="仿宋_GB2312" w:cs="仿宋_GB2312" w:eastAsia="仿宋_GB2312"/>
                <w:sz w:val="24"/>
              </w:rPr>
              <w:t>；</w:t>
            </w:r>
            <w:r>
              <w:rPr>
                <w:rFonts w:ascii="仿宋_GB2312" w:hAnsi="仿宋_GB2312" w:cs="仿宋_GB2312" w:eastAsia="仿宋_GB2312"/>
                <w:sz w:val="24"/>
              </w:rPr>
              <w:t>产品应经检验、检疫合格，有相应的检验、检疫证明，有当地卫生主管部门出具的动物检疫合格证明、有当地政府部门定点屠宰厂</w:t>
            </w:r>
            <w:r>
              <w:rPr>
                <w:rFonts w:ascii="仿宋_GB2312" w:hAnsi="仿宋_GB2312" w:cs="仿宋_GB2312" w:eastAsia="仿宋_GB2312"/>
                <w:sz w:val="24"/>
              </w:rPr>
              <w:t>“瘦肉精”残留检测合格证明和肉品品质检验合格证供采购人随时抽查。新鲜的肉类，表面有光泽，颜色均匀，有弹性，不得呈现青紫色死斑。</w:t>
            </w:r>
          </w:p>
          <w:p>
            <w:pPr>
              <w:pStyle w:val="null3"/>
              <w:jc w:val="left"/>
            </w:pPr>
            <w:r>
              <w:rPr>
                <w:rFonts w:ascii="仿宋_GB2312" w:hAnsi="仿宋_GB2312" w:cs="仿宋_GB2312" w:eastAsia="仿宋_GB2312"/>
                <w:sz w:val="24"/>
              </w:rPr>
              <w:t>7.水果类供货</w:t>
            </w:r>
            <w:r>
              <w:rPr>
                <w:rFonts w:ascii="仿宋_GB2312" w:hAnsi="仿宋_GB2312" w:cs="仿宋_GB2312" w:eastAsia="仿宋_GB2312"/>
                <w:sz w:val="24"/>
              </w:rPr>
              <w:t>：</w:t>
            </w:r>
            <w:r>
              <w:rPr>
                <w:rFonts w:ascii="仿宋_GB2312" w:hAnsi="仿宋_GB2312" w:cs="仿宋_GB2312" w:eastAsia="仿宋_GB2312"/>
                <w:sz w:val="24"/>
              </w:rPr>
              <w:t>果形完整、质地好、新鲜，无影响消费的腐烂变质</w:t>
            </w:r>
            <w:r>
              <w:rPr>
                <w:rFonts w:ascii="仿宋_GB2312" w:hAnsi="仿宋_GB2312" w:cs="仿宋_GB2312" w:eastAsia="仿宋_GB2312"/>
                <w:sz w:val="24"/>
              </w:rPr>
              <w:t>；</w:t>
            </w:r>
            <w:r>
              <w:rPr>
                <w:rFonts w:ascii="仿宋_GB2312" w:hAnsi="仿宋_GB2312" w:cs="仿宋_GB2312" w:eastAsia="仿宋_GB2312"/>
                <w:sz w:val="24"/>
              </w:rPr>
              <w:t>清洁，基本不含可见异物，无坏死斑块，无明显的机械伤，基本无虫害，无冷害，无异常的外部水分，但冷藏取出后的冷凝水除外</w:t>
            </w:r>
            <w:r>
              <w:rPr>
                <w:rFonts w:ascii="仿宋_GB2312" w:hAnsi="仿宋_GB2312" w:cs="仿宋_GB2312" w:eastAsia="仿宋_GB2312"/>
                <w:sz w:val="24"/>
              </w:rPr>
              <w:t>；</w:t>
            </w:r>
            <w:r>
              <w:rPr>
                <w:rFonts w:ascii="仿宋_GB2312" w:hAnsi="仿宋_GB2312" w:cs="仿宋_GB2312" w:eastAsia="仿宋_GB2312"/>
                <w:sz w:val="24"/>
              </w:rPr>
              <w:t>无异常气味和味道，发育充分，达到适当的成熟度</w:t>
            </w:r>
            <w:r>
              <w:rPr>
                <w:rFonts w:ascii="仿宋_GB2312" w:hAnsi="仿宋_GB2312" w:cs="仿宋_GB2312" w:eastAsia="仿宋_GB2312"/>
                <w:sz w:val="24"/>
              </w:rPr>
              <w:t>；带柄时，其长度不能超过</w:t>
            </w:r>
            <w:r>
              <w:rPr>
                <w:rFonts w:ascii="仿宋_GB2312" w:hAnsi="仿宋_GB2312" w:cs="仿宋_GB2312" w:eastAsia="仿宋_GB2312"/>
                <w:sz w:val="24"/>
              </w:rPr>
              <w:t>1cm。</w:t>
            </w:r>
          </w:p>
          <w:p>
            <w:pPr>
              <w:pStyle w:val="null3"/>
              <w:jc w:val="left"/>
            </w:pPr>
            <w:r>
              <w:rPr>
                <w:rFonts w:ascii="仿宋_GB2312" w:hAnsi="仿宋_GB2312" w:cs="仿宋_GB2312" w:eastAsia="仿宋_GB2312"/>
                <w:sz w:val="24"/>
              </w:rPr>
              <w:t>8.禽蛋类供货：禽蛋应符合国家相关质量标准，无破损、无污染、无霉变，蛋壳坚硬，蛋黄饱满，蛋白清澈。</w:t>
            </w:r>
          </w:p>
          <w:p>
            <w:pPr>
              <w:pStyle w:val="null3"/>
              <w:jc w:val="left"/>
            </w:pPr>
            <w:r>
              <w:rPr>
                <w:rFonts w:ascii="仿宋_GB2312" w:hAnsi="仿宋_GB2312" w:cs="仿宋_GB2312" w:eastAsia="仿宋_GB2312"/>
                <w:sz w:val="24"/>
              </w:rPr>
              <w:t>9.水产品类供货：鲜活水产食材包括但不限于鱼类、贝类、虾类和蟹类等水域生物。这些产品应当具备以下特征:</w:t>
            </w:r>
          </w:p>
          <w:p>
            <w:pPr>
              <w:pStyle w:val="null3"/>
              <w:jc w:val="left"/>
            </w:pPr>
            <w:r>
              <w:rPr>
                <w:rFonts w:ascii="仿宋_GB2312" w:hAnsi="仿宋_GB2312" w:cs="仿宋_GB2312" w:eastAsia="仿宋_GB2312"/>
                <w:sz w:val="24"/>
              </w:rPr>
              <w:t>外观</w:t>
            </w:r>
            <w:r>
              <w:rPr>
                <w:rFonts w:ascii="仿宋_GB2312" w:hAnsi="仿宋_GB2312" w:cs="仿宋_GB2312" w:eastAsia="仿宋_GB2312"/>
                <w:sz w:val="24"/>
              </w:rPr>
              <w:t>:产品应外表鲜艳、无任何损伤或污染。</w:t>
            </w:r>
          </w:p>
          <w:p>
            <w:pPr>
              <w:pStyle w:val="null3"/>
              <w:jc w:val="left"/>
            </w:pPr>
            <w:r>
              <w:rPr>
                <w:rFonts w:ascii="仿宋_GB2312" w:hAnsi="仿宋_GB2312" w:cs="仿宋_GB2312" w:eastAsia="仿宋_GB2312"/>
                <w:sz w:val="24"/>
              </w:rPr>
              <w:t>气味</w:t>
            </w:r>
            <w:r>
              <w:rPr>
                <w:rFonts w:ascii="仿宋_GB2312" w:hAnsi="仿宋_GB2312" w:cs="仿宋_GB2312" w:eastAsia="仿宋_GB2312"/>
                <w:sz w:val="24"/>
              </w:rPr>
              <w:t>:产品应释放出新鲜自然的气味，无异味。</w:t>
            </w:r>
          </w:p>
          <w:p>
            <w:pPr>
              <w:pStyle w:val="null3"/>
              <w:jc w:val="left"/>
            </w:pPr>
            <w:r>
              <w:rPr>
                <w:rFonts w:ascii="仿宋_GB2312" w:hAnsi="仿宋_GB2312" w:cs="仿宋_GB2312" w:eastAsia="仿宋_GB2312"/>
                <w:sz w:val="24"/>
              </w:rPr>
              <w:t>新鲜度</w:t>
            </w:r>
            <w:r>
              <w:rPr>
                <w:rFonts w:ascii="仿宋_GB2312" w:hAnsi="仿宋_GB2312" w:cs="仿宋_GB2312" w:eastAsia="仿宋_GB2312"/>
                <w:sz w:val="24"/>
              </w:rPr>
              <w:t>:产品应为新鲜采购或存放，以保持良好的风味和营养成分。</w:t>
            </w:r>
          </w:p>
          <w:p>
            <w:pPr>
              <w:pStyle w:val="null3"/>
              <w:jc w:val="left"/>
            </w:pPr>
            <w:r>
              <w:rPr>
                <w:rFonts w:ascii="仿宋_GB2312" w:hAnsi="仿宋_GB2312" w:cs="仿宋_GB2312" w:eastAsia="仿宋_GB2312"/>
                <w:sz w:val="24"/>
              </w:rPr>
              <w:t>10.冻货类供货：供应商提供的冻货产品应符合国家相关质量标准和卫生标准，保证产品新鲜无异味、无变质。</w:t>
            </w:r>
          </w:p>
          <w:p>
            <w:pPr>
              <w:pStyle w:val="null3"/>
              <w:jc w:val="left"/>
            </w:pPr>
            <w:r>
              <w:rPr>
                <w:rFonts w:ascii="仿宋_GB2312" w:hAnsi="仿宋_GB2312" w:cs="仿宋_GB2312" w:eastAsia="仿宋_GB2312"/>
                <w:sz w:val="24"/>
              </w:rPr>
              <w:t>六、验收方式：</w:t>
            </w:r>
            <w:r>
              <w:rPr>
                <w:rFonts w:ascii="仿宋_GB2312" w:hAnsi="仿宋_GB2312" w:cs="仿宋_GB2312" w:eastAsia="仿宋_GB2312"/>
                <w:sz w:val="24"/>
              </w:rPr>
              <w:t>供应商将货物按要求送到采购人指定地点后，提供本批次货锠近国珵楝货物清单</w:t>
            </w:r>
            <w:r>
              <w:rPr>
                <w:rFonts w:ascii="仿宋_GB2312" w:hAnsi="仿宋_GB2312" w:cs="仿宋_GB2312" w:eastAsia="仿宋_GB2312"/>
                <w:sz w:val="24"/>
              </w:rPr>
              <w:t>(含货物种类、数量、价格)。</w:t>
            </w:r>
          </w:p>
          <w:p>
            <w:pPr>
              <w:pStyle w:val="null3"/>
              <w:jc w:val="left"/>
            </w:pPr>
            <w:r>
              <w:rPr>
                <w:rFonts w:ascii="仿宋_GB2312" w:hAnsi="仿宋_GB2312" w:cs="仿宋_GB2312" w:eastAsia="仿宋_GB2312"/>
                <w:sz w:val="24"/>
              </w:rPr>
              <w:t>七、包装与质量要求：</w:t>
            </w:r>
          </w:p>
          <w:p>
            <w:pPr>
              <w:pStyle w:val="null3"/>
              <w:jc w:val="left"/>
            </w:pPr>
            <w:r>
              <w:rPr>
                <w:rFonts w:ascii="仿宋_GB2312" w:hAnsi="仿宋_GB2312" w:cs="仿宋_GB2312" w:eastAsia="仿宋_GB2312"/>
                <w:sz w:val="24"/>
              </w:rPr>
              <w:t>1.货物包装应完好无破漏，可视的内容物无腐败霉变或影响使用的变型，不存在危及人身、财产安全的不合理危险。</w:t>
            </w:r>
          </w:p>
          <w:p>
            <w:pPr>
              <w:pStyle w:val="null3"/>
              <w:jc w:val="left"/>
            </w:pPr>
            <w:r>
              <w:rPr>
                <w:rFonts w:ascii="仿宋_GB2312" w:hAnsi="仿宋_GB2312" w:cs="仿宋_GB2312" w:eastAsia="仿宋_GB2312"/>
                <w:sz w:val="24"/>
              </w:rPr>
              <w:t>2.食品包装标签应符合《食品安全国家标准预包装食品标签通则》(GB7718-2011)要求，包括食品名称、配料表、净含量、规格、制造商(或)经销者的名称、地址和联系方式、生产日期和保质期、贮存条件、食品生产许可证编号、产品标准代号等内容。</w:t>
            </w:r>
          </w:p>
          <w:p>
            <w:pPr>
              <w:pStyle w:val="null3"/>
              <w:jc w:val="left"/>
            </w:pPr>
            <w:r>
              <w:rPr>
                <w:rFonts w:ascii="仿宋_GB2312" w:hAnsi="仿宋_GB2312" w:cs="仿宋_GB2312" w:eastAsia="仿宋_GB2312"/>
                <w:sz w:val="24"/>
              </w:rPr>
              <w:t>3.供应商配送的食品应当符合《中华人民共和国产品质量法》和《中华人民共和国食品安全法》等相关法律法规规定的质量标准，未具体约定的应当符合国家食品安全要求的质量标准;没有国家标准的按照本省地方标准执行:无国家质量标准或本省地方标准的，按照通常标准或者符合合同目的的特定标准行。不得提供腐败变质、油脂酸败、霉变、生虫、污秽不洁、混有异物或者其他感官性状异常、含有毒有害物质或者被有毒有害物质污染，可能对人体健康有害的物品。</w:t>
            </w:r>
          </w:p>
          <w:p>
            <w:pPr>
              <w:pStyle w:val="null3"/>
              <w:jc w:val="left"/>
            </w:pPr>
            <w:r>
              <w:rPr>
                <w:rFonts w:ascii="仿宋_GB2312" w:hAnsi="仿宋_GB2312" w:cs="仿宋_GB2312" w:eastAsia="仿宋_GB2312"/>
                <w:sz w:val="24"/>
              </w:rPr>
              <w:t>4.不得提供未经检疫或者检疫不合格的肉类品(含然制品)、蔬菜制品，对带骨头肉制品按要求切块，须当批次《肉类卫生防疫证明》和蔬菜农药残留检测报告供采购人随时抽查。</w:t>
            </w:r>
          </w:p>
          <w:p>
            <w:pPr>
              <w:pStyle w:val="null3"/>
              <w:jc w:val="left"/>
            </w:pPr>
            <w:r>
              <w:rPr>
                <w:rFonts w:ascii="仿宋_GB2312" w:hAnsi="仿宋_GB2312" w:cs="仿宋_GB2312" w:eastAsia="仿宋_GB2312"/>
                <w:sz w:val="24"/>
              </w:rPr>
              <w:t>5.不得提供来历不明、不能提供相应产品标签的散装物品。</w:t>
            </w:r>
          </w:p>
          <w:p>
            <w:pPr>
              <w:pStyle w:val="null3"/>
              <w:jc w:val="left"/>
            </w:pPr>
            <w:r>
              <w:rPr>
                <w:rFonts w:ascii="仿宋_GB2312" w:hAnsi="仿宋_GB2312" w:cs="仿宋_GB2312" w:eastAsia="仿宋_GB2312"/>
                <w:sz w:val="24"/>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供应商承担。</w:t>
            </w:r>
          </w:p>
          <w:p>
            <w:pPr>
              <w:pStyle w:val="null3"/>
              <w:jc w:val="left"/>
            </w:pPr>
            <w:r>
              <w:rPr>
                <w:rFonts w:ascii="仿宋_GB2312" w:hAnsi="仿宋_GB2312" w:cs="仿宋_GB2312" w:eastAsia="仿宋_GB2312"/>
                <w:sz w:val="24"/>
              </w:rPr>
              <w:t>7.物资产品在送达采购人指定地点时保质期剩余时间应在三分之二以上。</w:t>
            </w:r>
          </w:p>
          <w:p>
            <w:pPr>
              <w:pStyle w:val="null3"/>
              <w:jc w:val="left"/>
            </w:pPr>
            <w:r>
              <w:rPr>
                <w:rFonts w:ascii="仿宋_GB2312" w:hAnsi="仿宋_GB2312" w:cs="仿宋_GB2312" w:eastAsia="仿宋_GB2312"/>
                <w:sz w:val="24"/>
              </w:rPr>
              <w:t>8.如因供应商提供的物资,因质量等问题而使采购人人员发生食物中毒事件的，供应商将承担相应的法律责任。</w:t>
            </w:r>
          </w:p>
          <w:p>
            <w:pPr>
              <w:pStyle w:val="null3"/>
              <w:jc w:val="left"/>
            </w:pPr>
            <w:r>
              <w:rPr>
                <w:rFonts w:ascii="仿宋_GB2312" w:hAnsi="仿宋_GB2312" w:cs="仿宋_GB2312" w:eastAsia="仿宋_GB2312"/>
                <w:sz w:val="24"/>
              </w:rPr>
              <w:t>八</w:t>
            </w:r>
            <w:r>
              <w:rPr>
                <w:rFonts w:ascii="仿宋_GB2312" w:hAnsi="仿宋_GB2312" w:cs="仿宋_GB2312" w:eastAsia="仿宋_GB2312"/>
                <w:sz w:val="24"/>
              </w:rPr>
              <w:t>、供货要求</w:t>
            </w:r>
          </w:p>
          <w:p>
            <w:pPr>
              <w:pStyle w:val="null3"/>
              <w:ind w:firstLine="480"/>
              <w:jc w:val="left"/>
            </w:pPr>
            <w:r>
              <w:rPr>
                <w:rFonts w:ascii="仿宋_GB2312" w:hAnsi="仿宋_GB2312" w:cs="仿宋_GB2312" w:eastAsia="仿宋_GB2312"/>
                <w:sz w:val="24"/>
              </w:rPr>
              <w:t>1.供货要求：按照采购方要求指定配送点分批次送货，每批次采购人验收质量及数量并签字。</w:t>
            </w:r>
          </w:p>
          <w:p>
            <w:pPr>
              <w:pStyle w:val="null3"/>
              <w:ind w:firstLine="480"/>
              <w:jc w:val="left"/>
            </w:pPr>
            <w:r>
              <w:rPr>
                <w:rFonts w:ascii="仿宋_GB2312" w:hAnsi="仿宋_GB2312" w:cs="仿宋_GB2312" w:eastAsia="仿宋_GB2312"/>
                <w:sz w:val="24"/>
              </w:rPr>
              <w:t>2.若供货验收时中出现质量问题或菜品不新鲜采购人有权拒签供货单，拒收货物。且在采购人规定的时间重新供货。</w:t>
            </w:r>
          </w:p>
          <w:p>
            <w:pPr>
              <w:pStyle w:val="null3"/>
              <w:jc w:val="left"/>
            </w:pPr>
            <w:r>
              <w:rPr>
                <w:rFonts w:ascii="仿宋_GB2312" w:hAnsi="仿宋_GB2312" w:cs="仿宋_GB2312" w:eastAsia="仿宋_GB2312"/>
                <w:sz w:val="24"/>
              </w:rPr>
              <w:t>九</w:t>
            </w:r>
            <w:r>
              <w:rPr>
                <w:rFonts w:ascii="仿宋_GB2312" w:hAnsi="仿宋_GB2312" w:cs="仿宋_GB2312" w:eastAsia="仿宋_GB2312"/>
                <w:sz w:val="24"/>
              </w:rPr>
              <w:t>、售后要求</w:t>
            </w:r>
          </w:p>
          <w:p>
            <w:pPr>
              <w:pStyle w:val="null3"/>
              <w:ind w:firstLine="480"/>
              <w:jc w:val="left"/>
            </w:pPr>
            <w:r>
              <w:rPr>
                <w:rFonts w:ascii="仿宋_GB2312" w:hAnsi="仿宋_GB2312" w:cs="仿宋_GB2312" w:eastAsia="仿宋_GB2312"/>
                <w:sz w:val="24"/>
              </w:rPr>
              <w:t>1.供应商提供的产品若出现不合格产品或在运输途中出现破损的,应在接到采购人通知12小时内响应，48小时内完成退换货工作。</w:t>
            </w:r>
          </w:p>
          <w:p>
            <w:pPr>
              <w:pStyle w:val="null3"/>
              <w:ind w:firstLine="480"/>
              <w:jc w:val="left"/>
            </w:pPr>
            <w:r>
              <w:rPr>
                <w:rFonts w:ascii="仿宋_GB2312" w:hAnsi="仿宋_GB2312" w:cs="仿宋_GB2312" w:eastAsia="仿宋_GB2312"/>
                <w:sz w:val="24"/>
              </w:rPr>
              <w:t>2.鲜活物品保证在送达指定地点后依旧新鲜。</w:t>
            </w:r>
          </w:p>
          <w:p>
            <w:pPr>
              <w:pStyle w:val="null3"/>
              <w:jc w:val="left"/>
            </w:pPr>
            <w:r>
              <w:rPr>
                <w:rFonts w:ascii="仿宋_GB2312" w:hAnsi="仿宋_GB2312" w:cs="仿宋_GB2312" w:eastAsia="仿宋_GB2312"/>
                <w:sz w:val="24"/>
              </w:rPr>
              <w:t>十</w:t>
            </w:r>
            <w:r>
              <w:rPr>
                <w:rFonts w:ascii="仿宋_GB2312" w:hAnsi="仿宋_GB2312" w:cs="仿宋_GB2312" w:eastAsia="仿宋_GB2312"/>
                <w:sz w:val="24"/>
              </w:rPr>
              <w:t>、其他要求</w:t>
            </w:r>
          </w:p>
          <w:p>
            <w:pPr>
              <w:pStyle w:val="null3"/>
              <w:ind w:firstLine="480"/>
              <w:jc w:val="left"/>
            </w:pPr>
            <w:r>
              <w:rPr>
                <w:rFonts w:ascii="仿宋_GB2312" w:hAnsi="仿宋_GB2312" w:cs="仿宋_GB2312" w:eastAsia="仿宋_GB2312"/>
                <w:sz w:val="24"/>
              </w:rPr>
              <w:t>1.供应商提供的产品必须是通过正规渠道采购。</w:t>
            </w:r>
          </w:p>
          <w:p>
            <w:pPr>
              <w:pStyle w:val="null3"/>
              <w:ind w:firstLine="480"/>
              <w:jc w:val="left"/>
            </w:pPr>
            <w:r>
              <w:rPr>
                <w:rFonts w:ascii="仿宋_GB2312" w:hAnsi="仿宋_GB2312" w:cs="仿宋_GB2312" w:eastAsia="仿宋_GB2312"/>
                <w:sz w:val="24"/>
              </w:rPr>
              <w:t>2.供应商根据职工食堂提供的所供食材的品牌、规格、大小、品种、数量、质量的要求准时向采购人提供配送服务。</w:t>
            </w:r>
          </w:p>
          <w:p>
            <w:pPr>
              <w:pStyle w:val="null3"/>
              <w:ind w:firstLine="480"/>
              <w:jc w:val="left"/>
            </w:pPr>
            <w:r>
              <w:rPr>
                <w:rFonts w:ascii="仿宋_GB2312" w:hAnsi="仿宋_GB2312" w:cs="仿宋_GB2312" w:eastAsia="仿宋_GB2312"/>
                <w:sz w:val="24"/>
              </w:rPr>
              <w:t>3.供应商自备送货车，安排专人及时供货，装卸费、送货费用及运输安全由供货方承担。</w:t>
            </w:r>
          </w:p>
          <w:p>
            <w:pPr>
              <w:pStyle w:val="null3"/>
              <w:ind w:firstLine="480"/>
              <w:jc w:val="left"/>
            </w:pPr>
            <w:r>
              <w:rPr>
                <w:rFonts w:ascii="仿宋_GB2312" w:hAnsi="仿宋_GB2312" w:cs="仿宋_GB2312" w:eastAsia="仿宋_GB2312"/>
                <w:sz w:val="24"/>
              </w:rPr>
              <w:t>4.特殊情况下，职工食堂需要的小批量的急用物资，供货方应予以满足解决。</w:t>
            </w:r>
          </w:p>
          <w:p>
            <w:pPr>
              <w:pStyle w:val="null3"/>
              <w:ind w:firstLine="480"/>
              <w:jc w:val="left"/>
            </w:pPr>
            <w:r>
              <w:rPr>
                <w:rFonts w:ascii="仿宋_GB2312" w:hAnsi="仿宋_GB2312" w:cs="仿宋_GB2312" w:eastAsia="仿宋_GB2312"/>
                <w:sz w:val="24"/>
              </w:rPr>
              <w:t>5.所有食材供应商必须按照采购方要求的种类、规格进行供货，满足采购方使用需求。所有食材采购及配送时间均以采购方通知为准，采购方有权根据实际需求量随时调整采购计划及供货时间段。</w:t>
            </w:r>
          </w:p>
          <w:p>
            <w:pPr>
              <w:pStyle w:val="null3"/>
              <w:jc w:val="left"/>
            </w:pPr>
            <w:r>
              <w:rPr>
                <w:rFonts w:ascii="仿宋_GB2312" w:hAnsi="仿宋_GB2312" w:cs="仿宋_GB2312" w:eastAsia="仿宋_GB2312"/>
                <w:sz w:val="24"/>
              </w:rPr>
              <w:t>十一</w:t>
            </w:r>
            <w:r>
              <w:rPr>
                <w:rFonts w:ascii="仿宋_GB2312" w:hAnsi="仿宋_GB2312" w:cs="仿宋_GB2312" w:eastAsia="仿宋_GB2312"/>
                <w:sz w:val="24"/>
              </w:rPr>
              <w:t>、项目实施的方式</w:t>
            </w:r>
          </w:p>
          <w:p>
            <w:pPr>
              <w:pStyle w:val="null3"/>
            </w:pPr>
            <w:r>
              <w:rPr>
                <w:rFonts w:ascii="仿宋_GB2312" w:hAnsi="仿宋_GB2312" w:cs="仿宋_GB2312" w:eastAsia="仿宋_GB2312"/>
                <w:sz w:val="24"/>
              </w:rPr>
              <w:t>参照价格以西安市一级批发市场的同级别产品零售价为准。配送价格以按实际发生的量进行据实结算。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自合同签订之日起一年，按需配送。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应检验包装标识或者产品说明书是否标出品名、产地、厂名、生产日期、批号或者代号、规格、配方或者主要成份、保质期限、食用或者使用方法等，防止购进假冒伪劣产品，禁止“三无”产品进入食堂；（2）主要食材中的定型包装食品，如米面油类，供应商需要提供三证，即生产厂家的卫生许可证（若非从厂家直接采购的还需同时提供供货单位的卫生许可证）复印件；批次产品卫生主管部门的检验报告；送货人员的健康证明；（3）包装污秽不洁、严重破损、运输工具不洁等造成污染的产品不得验收入库；（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5）食堂采购员、库管员和值班厨师共同对所购食品原辅料的质量、数量进行核对验收，验收合格的及时入库，并在《原料购进验收单》上签字确认。不合格产品应及时退回供应商，同时做好验收记录。食堂厨师长不定时抽查。（6）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个月月初乙方向甲方提交定价单，按月据实结算，甲方根据实际用量，凭定价单和验收单，采用支票或转帐的形式结算，结算价格以采购方当月询价标准*供货数量*折扣，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进度款，第七个月月初乙方向甲方提交定价单，按月据实结算，甲方根据实际用量，凭定价单和验收单，采用支票或转帐的形式结算，结算价格以采购方当月询价标准*供货数量*折扣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进度款，第八个月月初乙方向甲方提交定价单，按月据实结算，甲方根据实际用量，凭定价单和验收单，采用支票或转帐的形式结算，结算价格以采购方当月询价标准*供货数量*折扣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进度款，第九个月月初乙方向甲方提交定价单，按月据实结算，甲方根据实际用量，凭定价单和验收单，采用支票或转帐的形式结算，结算价格以采购方当月询价标准*供货数量*折扣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进度款，第十个月月初乙方向甲方提交定价单，按月据实结算，甲方根据实际用量，凭定价单和验收单，采用支票或转帐的形式结算，结算价格以采购方当月询价标准*供货数量*折扣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进度款，第十一个月月初乙方向甲方提交定价单，按月据实结算，按月据实结算，甲方根据实际用量，凭定价单和验收单，采用支票或转帐的形式结算，结算价格以采购方当月询价标准*供货数量*折扣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进度款，第十二个月月初乙方向甲方提交定价单，按月据实结算，甲方根据实际用量，凭定价单和验收单，采用支票或转帐的形式结算，结算价格以采购方当月询价标准*供货数量*折扣 ，次月20日前根据供货单据实结算上个月的费用，达到付款条件起20个工作日内，支付合同总金额的8.37%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1、乙方违反合同约定，甲方有权责令其在24小时内整改，如乙方整改后仍不能达到甲方要求，甲方有权解除本合同。 2、任何一方出现违约情形导致合同无法继续履行的，守约方解除合同应提前7个工作日以书面方式通知对方。 3、乙方严格按照甲方订单指定采购食材，如因甲方订单失误造成乙方采购货品错误，乙方不承担责任。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1.本项目为折扣报价，例如：折扣为90%即为九折。 2.本项目合同包1为专门面向中小企业采购。 3.本项目属性为服务。 4.本项目合同包1采购标的所属行业为：餐饮业；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（6）法定代表人授权书（附法定代表人、被授权人身份证复印件，被授权人需提供在本单位近三个月内任意一个月的社保缴纳证明），法定代表人直接参加磋商，须提供法定代表人身份证明及身份证复印件；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（8）供应商为生产厂家的须提供《食品生产许可证》；供应商为代理商的须提供《食品经营许可证》或《预包装食品备案表》；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法定代表人授权书（附法定代表人、被授权人身份证复印件，被授权人需提供在本单位近三个月内任意一个月的社保缴纳证明），法定代表人直接参加磋商，须提供法定代表人身份证明及身份证复印件；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供应商为生产厂家的须提供《食品生产许可证》；供应商为代理商的须提供《食品经营许可证》或《预包装食品备案表》</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供应商为生产厂家的须提供《食品生产许可证》；供应商为代理商的须提供《食品经营许可证》或《预包装食品备案表》。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监狱企业的证明文件 磋商服务方案.docx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5项评审内容全部满足评审标准得 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服务应答表.docx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一、评审内容：针对本项目需求编制售后服务方案，包括①食品保鲜、②配送时限保证。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根据供应商针对本项目提供的符合要求的运输配送车辆，提供自有或租赁车辆证明材料，每有一辆计2.5分，最高计5分。 未提供不得分。 备注：运输配送车辆是企业自有车辆或租赁车辆，企业自有车辆提供机动车登记证书、车辆行驶证；租赁车辆提供租赁合同及相对应的机动车登记证书、车辆行驶证，磋商响应文件中提供加盖公章的复印件。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食品安全及储存条件</w:t>
            </w:r>
          </w:p>
        </w:tc>
        <w:tc>
          <w:tcPr>
            <w:tcW w:type="dxa" w:w="2492"/>
          </w:tcPr>
          <w:p>
            <w:pPr>
              <w:pStyle w:val="null3"/>
            </w:pPr>
            <w:r>
              <w:rPr>
                <w:rFonts w:ascii="仿宋_GB2312" w:hAnsi="仿宋_GB2312" w:cs="仿宋_GB2312" w:eastAsia="仿宋_GB2312"/>
              </w:rPr>
              <w:t>供应商针对本项目具有①产品储藏和储存场所、②储藏和储存场所干净整洁。 注：提供场地的证明材料，包括租赁合同或购房合同、储存场所照片等。每提供以上一项证明材料得3分，满分6分；未提供不得分。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为保证所投货物质量符合国家相关标准和采购人的要求，供应商应提供所投货物的检验报告，检验报告应包括货物的核心指标。根据提供检验报告的齐全程度、检测项目的丰富程度进行评审（包括但不限于生鲜蔬菜类、鲜肉蛋禽类、熟食类、预包装食品类、水产类、生鲜冷冻类、水果奶制品类、米面油类、豆制品类、干货调味品类）。供应商提供送检第三方检测出具的食品检测合格报告。供应商提供上述资料，每提供一种货物得1.5分，最高得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根据供应商针对本项目设置岗位及人员情况进行评审：包含但不限于项目负责人、驾驶人员、货物储存人员、分拣人员、专业检测人员或食品安全人员等。每具备一名相应的人员得1分；本项满分10分； 注：响应文件中提供人员、身份证、健康证、拟投入人员近六个月内任意一个月的社保缴纳证明或劳动合同（加盖供应商公章）、驾驶人员驾驶证。以上计分对同一人不重复计分，证件不全不计分。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类似项目业绩，每提供1份得2分，最高得12分；业绩证明（时间以合同（协议）签订时间或中标（成交）通知书落款时间为准，须在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满足磋商文件实质性要求且最终报价最低的供应商的价格为磋商基准价，其价格分为满分15分。2.磋商总报价得分=(磋商基准价／最终磋商总报价)×15。注：计算分数时四舍五入取小数点后两位。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