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版本号：SXHC2026-22620260824001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市场监管局高新区分局采购综合监管平台运维项目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SXHC2026-226</w:t>
      </w:r>
      <w:r>
        <w:br/>
      </w:r>
      <w:r>
        <w:br/>
      </w:r>
      <w:r>
        <w:br/>
      </w:r>
    </w:p>
    <w:p>
      <w:pPr>
        <w:pStyle w:val="null3"/>
        <w:jc w:val="center"/>
        <w:outlineLvl w:val="2"/>
      </w:pPr>
      <w:r>
        <w:rPr>
          <w:rFonts w:ascii="仿宋_GB2312" w:hAnsi="仿宋_GB2312" w:cs="仿宋_GB2312" w:eastAsia="仿宋_GB2312"/>
          <w:sz w:val="28"/>
          <w:b/>
        </w:rPr>
        <w:t>西安高新技术产业开发区行政审批服务局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市场监管局高新区分局采购综合监管平台运维项目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市场监管局高新区分局采购综合监管平台运维项目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市场监管局高新区分局采购综合监管平台运维项目，详见采购需求。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采购包1（市场监管局高新区分局采购综合监管平台运维项目）：属于专门面向中小企业采购。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都市之门A座7楼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依据国家计委颁布《招标代理服务收费管理暂行办法》（计价格〔2002〕1980号）及《国家发改委关于降低部分建设项目收费标准规范收费行为等有关问题的通知（发改价格〔2011〕534号）规定按标准收取，若按照标准收取不足6000元，按6000元计取。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市场监管局高新区分局采购综合监管平台运维项目，详见采购需求。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633,000.00</w:t>
      </w:r>
    </w:p>
    <w:p>
      <w:pPr>
        <w:pStyle w:val="null3"/>
      </w:pPr>
      <w:r>
        <w:rPr>
          <w:rFonts w:ascii="仿宋_GB2312" w:hAnsi="仿宋_GB2312" w:cs="仿宋_GB2312" w:eastAsia="仿宋_GB2312"/>
        </w:rPr>
        <w:t>采购包最高限价（元）: 633,000.00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市场监管局高新区分局采购综合监管平台运维项目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标的名称：市场监管局高新区分局采购综合监管平台运维项目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rPr>
              <w:t>一、市场监管领域执法办案规范化延申</w:t>
            </w:r>
          </w:p>
          <w:p>
            <w:pPr>
              <w:pStyle w:val="null3"/>
              <w:ind w:firstLine="400"/>
              <w:jc w:val="left"/>
            </w:pPr>
            <w:r>
              <w:rPr>
                <w:rFonts w:ascii="仿宋_GB2312" w:hAnsi="仿宋_GB2312" w:cs="仿宋_GB2312" w:eastAsia="仿宋_GB2312"/>
              </w:rPr>
              <w:t>依托“智慧市监”一体化平台，在高新区市场综合监管平台对现有案件线索发起、办理、结果反馈全流程进行优化提速，利用高新区特有“移动执法“等互联网应用缩短办案流程用时，提高办案效率。</w:t>
            </w:r>
          </w:p>
          <w:p>
            <w:pPr>
              <w:pStyle w:val="null3"/>
              <w:ind w:firstLine="400"/>
              <w:jc w:val="left"/>
            </w:pPr>
            <w:r>
              <w:rPr>
                <w:rFonts w:ascii="仿宋_GB2312" w:hAnsi="仿宋_GB2312" w:cs="仿宋_GB2312" w:eastAsia="仿宋_GB2312"/>
              </w:rPr>
              <w:t>开发适用于市场监管领域的现场调查和办案辅助模块，根据脱敏案件信息快速生成标准化的现场笔录、询问笔录等文书。办案过程中利用Ai人工大模型实时出具预审意见，提前排查证据缺失、程序疏漏等问题，现场快速调取当事人历史涉案信息、同类案件裁量基准，辅助执法人员当场做出合规的处置判断。</w:t>
            </w:r>
          </w:p>
          <w:p>
            <w:pPr>
              <w:pStyle w:val="null3"/>
              <w:ind w:firstLine="400"/>
              <w:jc w:val="left"/>
            </w:pPr>
            <w:r>
              <w:rPr>
                <w:rFonts w:ascii="仿宋_GB2312" w:hAnsi="仿宋_GB2312" w:cs="仿宋_GB2312" w:eastAsia="仿宋_GB2312"/>
              </w:rPr>
              <w:t>二、数据对接与系统融合</w:t>
            </w:r>
          </w:p>
          <w:p>
            <w:pPr>
              <w:pStyle w:val="null3"/>
              <w:ind w:firstLine="600"/>
              <w:jc w:val="left"/>
            </w:pPr>
            <w:r>
              <w:rPr>
                <w:rFonts w:ascii="仿宋_GB2312" w:hAnsi="仿宋_GB2312" w:cs="仿宋_GB2312" w:eastAsia="仿宋_GB2312"/>
              </w:rPr>
              <w:t>1.</w:t>
            </w:r>
            <w:r>
              <w:rPr>
                <w:rFonts w:ascii="仿宋_GB2312" w:hAnsi="仿宋_GB2312" w:cs="仿宋_GB2312" w:eastAsia="仿宋_GB2312"/>
              </w:rPr>
              <w:t>西安市数据一体化平台的接入和数据共享</w:t>
            </w:r>
          </w:p>
          <w:p>
            <w:pPr>
              <w:pStyle w:val="null3"/>
              <w:ind w:firstLine="400"/>
              <w:jc w:val="left"/>
            </w:pPr>
            <w:r>
              <w:rPr>
                <w:rFonts w:ascii="仿宋_GB2312" w:hAnsi="仿宋_GB2312" w:cs="仿宋_GB2312" w:eastAsia="仿宋_GB2312"/>
              </w:rPr>
              <w:t>根据西安市市级及高新区个部门数据要求，在部门审批通过后按需在“西安市数据一体化平台”共享交换数据。</w:t>
            </w:r>
          </w:p>
          <w:p>
            <w:pPr>
              <w:pStyle w:val="null3"/>
              <w:ind w:firstLine="400"/>
              <w:jc w:val="left"/>
            </w:pPr>
            <w:r>
              <w:rPr>
                <w:rFonts w:ascii="仿宋_GB2312" w:hAnsi="仿宋_GB2312" w:cs="仿宋_GB2312" w:eastAsia="仿宋_GB2312"/>
              </w:rPr>
              <w:t xml:space="preserve"> 2.智慧市监数据融合</w:t>
            </w:r>
          </w:p>
          <w:p>
            <w:pPr>
              <w:pStyle w:val="null3"/>
              <w:ind w:firstLine="400"/>
              <w:jc w:val="left"/>
            </w:pPr>
            <w:r>
              <w:rPr>
                <w:rFonts w:ascii="仿宋_GB2312" w:hAnsi="仿宋_GB2312" w:cs="仿宋_GB2312" w:eastAsia="仿宋_GB2312"/>
              </w:rPr>
              <w:t>按照西安市市场监督管局智慧市监发展进程完成上下级数据对接和数据交换。</w:t>
            </w:r>
          </w:p>
          <w:p>
            <w:pPr>
              <w:pStyle w:val="null3"/>
              <w:ind w:firstLine="400"/>
              <w:jc w:val="left"/>
            </w:pPr>
            <w:r>
              <w:rPr>
                <w:rFonts w:ascii="仿宋_GB2312" w:hAnsi="仿宋_GB2312" w:cs="仿宋_GB2312" w:eastAsia="仿宋_GB2312"/>
              </w:rPr>
              <w:t>三、涉企互联网数据更新服务</w:t>
            </w:r>
          </w:p>
          <w:p>
            <w:pPr>
              <w:pStyle w:val="null3"/>
              <w:ind w:firstLine="400"/>
              <w:jc w:val="left"/>
            </w:pPr>
            <w:r>
              <w:rPr>
                <w:rFonts w:ascii="仿宋_GB2312" w:hAnsi="仿宋_GB2312" w:cs="仿宋_GB2312" w:eastAsia="仿宋_GB2312"/>
              </w:rPr>
              <w:t>1.在库企业大数据的统计分析。对平台企业数据库存储舍弃数据定期统计整理，梳理各类数据的更新频次和最后更新时间，全面了解平台数据情况，并为数据更新做好准备。</w:t>
            </w:r>
          </w:p>
          <w:p>
            <w:pPr>
              <w:pStyle w:val="null3"/>
              <w:ind w:firstLine="400"/>
              <w:jc w:val="left"/>
            </w:pPr>
            <w:r>
              <w:rPr>
                <w:rFonts w:ascii="仿宋_GB2312" w:hAnsi="仿宋_GB2312" w:cs="仿宋_GB2312" w:eastAsia="仿宋_GB2312"/>
              </w:rPr>
              <w:t>2.涉企数据采集和更新服务。根据在库数据的分析结果，涉及内部数据的及时与数据提供方沟通完成数据更新。对需要互联网渠道更新的数据依照数据类型定期多渠道多方向从互联网完成采集，在对数据加工处理后按照数据时间参数更新至平台企业信息数据库。</w:t>
            </w:r>
          </w:p>
          <w:p>
            <w:pPr>
              <w:pStyle w:val="null3"/>
              <w:ind w:firstLine="400"/>
              <w:jc w:val="left"/>
            </w:pPr>
            <w:r>
              <w:rPr>
                <w:rFonts w:ascii="仿宋_GB2312" w:hAnsi="仿宋_GB2312" w:cs="仿宋_GB2312" w:eastAsia="仿宋_GB2312"/>
              </w:rPr>
              <w:t>四、平台运维服务</w:t>
            </w:r>
          </w:p>
          <w:p>
            <w:pPr>
              <w:pStyle w:val="null3"/>
              <w:ind w:firstLine="400"/>
              <w:jc w:val="left"/>
            </w:pPr>
            <w:r>
              <w:rPr>
                <w:rFonts w:ascii="仿宋_GB2312" w:hAnsi="仿宋_GB2312" w:cs="仿宋_GB2312" w:eastAsia="仿宋_GB2312"/>
              </w:rPr>
              <w:t>1.保障系统运行</w:t>
            </w:r>
          </w:p>
          <w:p>
            <w:pPr>
              <w:pStyle w:val="null3"/>
              <w:ind w:firstLine="400"/>
              <w:jc w:val="left"/>
            </w:pPr>
            <w:r>
              <w:rPr>
                <w:rFonts w:ascii="仿宋_GB2312" w:hAnsi="仿宋_GB2312" w:cs="仿宋_GB2312" w:eastAsia="仿宋_GB2312"/>
              </w:rPr>
              <w:t>提供7*24小时上门维护、升级、故障相应，保证2小时内到达现场，5小时内提出解决方案并采取措施。逾期未作出相应承担故障造成全部损失。对响应后5小时内无法处理完成故障及时出具故障诊断书，并及时与负责部门协商解决。</w:t>
            </w:r>
          </w:p>
          <w:p>
            <w:pPr>
              <w:pStyle w:val="null3"/>
              <w:ind w:firstLine="400"/>
              <w:jc w:val="left"/>
            </w:pPr>
            <w:r>
              <w:rPr>
                <w:rFonts w:ascii="仿宋_GB2312" w:hAnsi="仿宋_GB2312" w:cs="仿宋_GB2312" w:eastAsia="仿宋_GB2312"/>
              </w:rPr>
              <w:t>对服务期间和部署软件和中间件实现免费升级，达到符合各组件兼容的最新版本。</w:t>
            </w:r>
          </w:p>
          <w:p>
            <w:pPr>
              <w:pStyle w:val="null3"/>
              <w:ind w:firstLine="400"/>
              <w:jc w:val="left"/>
            </w:pPr>
            <w:r>
              <w:rPr>
                <w:rFonts w:ascii="仿宋_GB2312" w:hAnsi="仿宋_GB2312" w:cs="仿宋_GB2312" w:eastAsia="仿宋_GB2312"/>
              </w:rPr>
              <w:t>定期完成日常检查和异常信息上报，对尚未影响系统运行的性能异常等内容及时登记上报，并与负责部门协商结果。</w:t>
            </w:r>
          </w:p>
          <w:p>
            <w:pPr>
              <w:pStyle w:val="null3"/>
              <w:ind w:firstLine="400"/>
              <w:jc w:val="left"/>
            </w:pPr>
            <w:r>
              <w:rPr>
                <w:rFonts w:ascii="仿宋_GB2312" w:hAnsi="仿宋_GB2312" w:cs="仿宋_GB2312" w:eastAsia="仿宋_GB2312"/>
              </w:rPr>
              <w:t>2.项目运维专职人员设置</w:t>
            </w:r>
          </w:p>
          <w:p>
            <w:pPr>
              <w:pStyle w:val="null3"/>
              <w:ind w:firstLine="400"/>
              <w:jc w:val="left"/>
            </w:pPr>
            <w:r>
              <w:rPr>
                <w:rFonts w:ascii="仿宋_GB2312" w:hAnsi="仿宋_GB2312" w:cs="仿宋_GB2312" w:eastAsia="仿宋_GB2312"/>
              </w:rPr>
              <w:t>运维人员劳动保障：供应商在合同期间需与从事该项目运维人员签订劳动用工合同，遵守有关</w:t>
            </w:r>
            <w:r>
              <w:rPr>
                <w:rFonts w:ascii="仿宋_GB2312" w:hAnsi="仿宋_GB2312" w:cs="仿宋_GB2312" w:eastAsia="仿宋_GB2312"/>
              </w:rPr>
              <w:t>劳动用工的法律法规，如聘用人员在用工期间与</w:t>
            </w:r>
            <w:r>
              <w:rPr>
                <w:rFonts w:ascii="仿宋_GB2312" w:hAnsi="仿宋_GB2312" w:cs="仿宋_GB2312" w:eastAsia="仿宋_GB2312"/>
              </w:rPr>
              <w:t>供应商</w:t>
            </w:r>
            <w:r>
              <w:rPr>
                <w:rFonts w:ascii="仿宋_GB2312" w:hAnsi="仿宋_GB2312" w:cs="仿宋_GB2312" w:eastAsia="仿宋_GB2312"/>
              </w:rPr>
              <w:t>发生劳资纠纷和工伤事故的，均由</w:t>
            </w:r>
            <w:r>
              <w:rPr>
                <w:rFonts w:ascii="仿宋_GB2312" w:hAnsi="仿宋_GB2312" w:cs="仿宋_GB2312" w:eastAsia="仿宋_GB2312"/>
              </w:rPr>
              <w:t>供应商</w:t>
            </w:r>
            <w:r>
              <w:rPr>
                <w:rFonts w:ascii="仿宋_GB2312" w:hAnsi="仿宋_GB2312" w:cs="仿宋_GB2312" w:eastAsia="仿宋_GB2312"/>
              </w:rPr>
              <w:t>负责。不得影响本项目的正常开展实施。</w:t>
            </w:r>
          </w:p>
          <w:p>
            <w:pPr>
              <w:pStyle w:val="null3"/>
              <w:ind w:firstLine="400"/>
              <w:jc w:val="left"/>
            </w:pPr>
            <w:r>
              <w:rPr>
                <w:rFonts w:ascii="仿宋_GB2312" w:hAnsi="仿宋_GB2312" w:cs="仿宋_GB2312" w:eastAsia="仿宋_GB2312"/>
              </w:rPr>
              <w:t>服务人数要求：在合同期间</w:t>
            </w:r>
            <w:r>
              <w:rPr>
                <w:rFonts w:ascii="仿宋_GB2312" w:hAnsi="仿宋_GB2312" w:cs="仿宋_GB2312" w:eastAsia="仿宋_GB2312"/>
              </w:rPr>
              <w:t>供应商</w:t>
            </w:r>
            <w:r>
              <w:rPr>
                <w:rFonts w:ascii="仿宋_GB2312" w:hAnsi="仿宋_GB2312" w:cs="仿宋_GB2312" w:eastAsia="仿宋_GB2312"/>
              </w:rPr>
              <w:t>需提供最低不低于1名驻场人员，需安排协助管理人员不少于</w:t>
            </w:r>
            <w:r>
              <w:rPr>
                <w:rFonts w:ascii="仿宋_GB2312" w:hAnsi="仿宋_GB2312" w:cs="仿宋_GB2312" w:eastAsia="仿宋_GB2312"/>
              </w:rPr>
              <w:t>2</w:t>
            </w:r>
            <w:r>
              <w:rPr>
                <w:rFonts w:ascii="仿宋_GB2312" w:hAnsi="仿宋_GB2312" w:cs="仿宋_GB2312" w:eastAsia="仿宋_GB2312"/>
              </w:rPr>
              <w:t>名，共同协助采购人系统业务管理。</w:t>
            </w:r>
          </w:p>
          <w:p>
            <w:pPr>
              <w:pStyle w:val="null3"/>
              <w:ind w:firstLine="400"/>
              <w:jc w:val="left"/>
            </w:pPr>
            <w:r>
              <w:rPr>
                <w:rFonts w:ascii="仿宋_GB2312" w:hAnsi="仿宋_GB2312" w:cs="仿宋_GB2312" w:eastAsia="仿宋_GB2312"/>
              </w:rPr>
              <w:t>驻场专员能力要求：</w:t>
            </w:r>
          </w:p>
          <w:p>
            <w:pPr>
              <w:pStyle w:val="null3"/>
              <w:ind w:firstLine="400"/>
              <w:jc w:val="left"/>
            </w:pPr>
            <w:r>
              <w:rPr>
                <w:rFonts w:ascii="仿宋_GB2312" w:hAnsi="仿宋_GB2312" w:cs="仿宋_GB2312" w:eastAsia="仿宋_GB2312"/>
              </w:rPr>
              <w:t>供应商</w:t>
            </w:r>
            <w:r>
              <w:rPr>
                <w:rFonts w:ascii="仿宋_GB2312" w:hAnsi="仿宋_GB2312" w:cs="仿宋_GB2312" w:eastAsia="仿宋_GB2312"/>
              </w:rPr>
              <w:t>提供的驻场专员个人或团队须至少满足以下技能要求：</w:t>
            </w:r>
          </w:p>
          <w:p>
            <w:pPr>
              <w:pStyle w:val="null3"/>
              <w:ind w:firstLine="400"/>
              <w:jc w:val="left"/>
            </w:pPr>
            <w:r>
              <w:rPr>
                <w:rFonts w:ascii="仿宋_GB2312" w:hAnsi="仿宋_GB2312" w:cs="仿宋_GB2312" w:eastAsia="仿宋_GB2312"/>
              </w:rPr>
              <w:t>熟练Spring Boot框架、Nginx、Redis、Tomcat的部署调试；</w:t>
            </w:r>
          </w:p>
          <w:p>
            <w:pPr>
              <w:pStyle w:val="null3"/>
              <w:ind w:firstLine="400"/>
              <w:jc w:val="left"/>
            </w:pPr>
            <w:r>
              <w:rPr>
                <w:rFonts w:ascii="仿宋_GB2312" w:hAnsi="仿宋_GB2312" w:cs="仿宋_GB2312" w:eastAsia="仿宋_GB2312"/>
              </w:rPr>
              <w:t>熟练Oracle、MySQL等主流数据库管理调试；</w:t>
            </w:r>
          </w:p>
          <w:p>
            <w:pPr>
              <w:pStyle w:val="null3"/>
              <w:ind w:firstLine="400"/>
              <w:jc w:val="left"/>
            </w:pPr>
            <w:r>
              <w:rPr>
                <w:rFonts w:ascii="仿宋_GB2312" w:hAnsi="仿宋_GB2312" w:cs="仿宋_GB2312" w:eastAsia="仿宋_GB2312"/>
              </w:rPr>
              <w:t>熟练Pentaho Data Integration数据中间件的配置和使用；</w:t>
            </w:r>
          </w:p>
          <w:p>
            <w:pPr>
              <w:pStyle w:val="null3"/>
              <w:ind w:firstLine="400"/>
              <w:jc w:val="left"/>
            </w:pPr>
            <w:r>
              <w:rPr>
                <w:rFonts w:ascii="仿宋_GB2312" w:hAnsi="仿宋_GB2312" w:cs="仿宋_GB2312" w:eastAsia="仿宋_GB2312"/>
              </w:rPr>
              <w:t>熟悉Windows、Linux服务器及华为存储服务器的配置使用和空间管理；</w:t>
            </w:r>
          </w:p>
          <w:p>
            <w:pPr>
              <w:pStyle w:val="null3"/>
              <w:ind w:firstLine="400"/>
              <w:jc w:val="left"/>
            </w:pPr>
            <w:r>
              <w:rPr>
                <w:rFonts w:ascii="仿宋_GB2312" w:hAnsi="仿宋_GB2312" w:cs="仿宋_GB2312" w:eastAsia="仿宋_GB2312"/>
              </w:rPr>
              <w:t>（经</w:t>
            </w:r>
            <w:r>
              <w:rPr>
                <w:rFonts w:ascii="仿宋_GB2312" w:hAnsi="仿宋_GB2312" w:cs="仿宋_GB2312" w:eastAsia="仿宋_GB2312"/>
              </w:rPr>
              <w:t>采购人</w:t>
            </w:r>
            <w:r>
              <w:rPr>
                <w:rFonts w:ascii="仿宋_GB2312" w:hAnsi="仿宋_GB2312" w:cs="仿宋_GB2312" w:eastAsia="仿宋_GB2312"/>
              </w:rPr>
              <w:t>考核不达标人员，</w:t>
            </w:r>
            <w:r>
              <w:rPr>
                <w:rFonts w:ascii="仿宋_GB2312" w:hAnsi="仿宋_GB2312" w:cs="仿宋_GB2312" w:eastAsia="仿宋_GB2312"/>
              </w:rPr>
              <w:t>采购人</w:t>
            </w:r>
            <w:r>
              <w:rPr>
                <w:rFonts w:ascii="仿宋_GB2312" w:hAnsi="仿宋_GB2312" w:cs="仿宋_GB2312" w:eastAsia="仿宋_GB2312"/>
              </w:rPr>
              <w:t>有权要求</w:t>
            </w:r>
            <w:r>
              <w:rPr>
                <w:rFonts w:ascii="仿宋_GB2312" w:hAnsi="仿宋_GB2312" w:cs="仿宋_GB2312" w:eastAsia="仿宋_GB2312"/>
              </w:rPr>
              <w:t>供应商</w:t>
            </w:r>
            <w:r>
              <w:rPr>
                <w:rFonts w:ascii="仿宋_GB2312" w:hAnsi="仿宋_GB2312" w:cs="仿宋_GB2312" w:eastAsia="仿宋_GB2312"/>
              </w:rPr>
              <w:t>更换派遣人员并赔偿损失）</w:t>
            </w:r>
          </w:p>
          <w:p>
            <w:pPr>
              <w:pStyle w:val="null3"/>
              <w:ind w:firstLine="400"/>
              <w:jc w:val="left"/>
            </w:pPr>
            <w:r>
              <w:rPr>
                <w:rFonts w:ascii="仿宋_GB2312" w:hAnsi="仿宋_GB2312" w:cs="仿宋_GB2312" w:eastAsia="仿宋_GB2312"/>
              </w:rPr>
              <w:t>数据安全承诺：</w:t>
            </w:r>
            <w:r>
              <w:rPr>
                <w:rFonts w:ascii="仿宋_GB2312" w:hAnsi="仿宋_GB2312" w:cs="仿宋_GB2312" w:eastAsia="仿宋_GB2312"/>
              </w:rPr>
              <w:t>供应商</w:t>
            </w:r>
            <w:r>
              <w:rPr>
                <w:rFonts w:ascii="仿宋_GB2312" w:hAnsi="仿宋_GB2312" w:cs="仿宋_GB2312" w:eastAsia="仿宋_GB2312"/>
              </w:rPr>
              <w:t>安排项目组成员均需签订数据保密协议。保证业务数据和业务信息不通过任何资料外泄。</w:t>
            </w:r>
          </w:p>
          <w:p>
            <w:pPr>
              <w:pStyle w:val="null3"/>
              <w:ind w:firstLine="400"/>
              <w:jc w:val="left"/>
            </w:pPr>
            <w:r>
              <w:rPr>
                <w:rFonts w:ascii="仿宋_GB2312" w:hAnsi="仿宋_GB2312" w:cs="仿宋_GB2312" w:eastAsia="仿宋_GB2312"/>
              </w:rPr>
              <w:t>3.产品业务或技术咨询</w:t>
            </w:r>
          </w:p>
          <w:p>
            <w:pPr>
              <w:pStyle w:val="null3"/>
              <w:ind w:firstLine="400"/>
              <w:jc w:val="left"/>
            </w:pPr>
            <w:r>
              <w:rPr>
                <w:rFonts w:ascii="仿宋_GB2312" w:hAnsi="仿宋_GB2312" w:cs="仿宋_GB2312" w:eastAsia="仿宋_GB2312"/>
              </w:rPr>
              <w:t>对运行过程中产生的信息化产品提供技术咨询和业务指导。</w:t>
            </w:r>
          </w:p>
          <w:p>
            <w:pPr>
              <w:pStyle w:val="null3"/>
              <w:ind w:firstLine="400"/>
              <w:jc w:val="left"/>
            </w:pPr>
            <w:r>
              <w:rPr>
                <w:rFonts w:ascii="仿宋_GB2312" w:hAnsi="仿宋_GB2312" w:cs="仿宋_GB2312" w:eastAsia="仿宋_GB2312"/>
              </w:rPr>
              <w:t>五、“高新区企业直通车”微信公众号维护</w:t>
            </w:r>
          </w:p>
          <w:p>
            <w:pPr>
              <w:pStyle w:val="null3"/>
              <w:ind w:firstLine="400"/>
              <w:jc w:val="left"/>
            </w:pPr>
            <w:r>
              <w:rPr>
                <w:rFonts w:ascii="仿宋_GB2312" w:hAnsi="仿宋_GB2312" w:cs="仿宋_GB2312" w:eastAsia="仿宋_GB2312"/>
              </w:rPr>
              <w:t>平台办公众号的信息和运营维护服务，公众号日常信息的维护工作，每周根据平台办的工作情况，对外披露和发布相关的业务信息；接听公众号的对外服务统一热线，按照办公室要求完成相关的业务信息答复和处理；推广公众号的用户群体，完成公众号的运维服务，保障业务系统稳定运行；提供对微信公众号页面模板更新和小程序推送消息的更新运维。</w:t>
            </w:r>
          </w:p>
          <w:p>
            <w:pPr>
              <w:pStyle w:val="null3"/>
              <w:ind w:firstLine="400"/>
              <w:jc w:val="left"/>
            </w:pPr>
            <w:r>
              <w:rPr>
                <w:rFonts w:ascii="仿宋_GB2312" w:hAnsi="仿宋_GB2312" w:cs="仿宋_GB2312" w:eastAsia="仿宋_GB2312"/>
              </w:rPr>
              <w:t>六、第三方订阅服务费</w:t>
            </w:r>
          </w:p>
          <w:p>
            <w:pPr>
              <w:pStyle w:val="null3"/>
              <w:ind w:firstLine="400"/>
              <w:jc w:val="left"/>
            </w:pPr>
            <w:r>
              <w:rPr>
                <w:rFonts w:ascii="仿宋_GB2312" w:hAnsi="仿宋_GB2312" w:cs="仿宋_GB2312" w:eastAsia="仿宋_GB2312"/>
              </w:rPr>
              <w:t>为平台系统相关订阅服务和授权提供合同期期限续费，内容包括:</w:t>
            </w:r>
          </w:p>
          <w:p>
            <w:pPr>
              <w:pStyle w:val="null3"/>
              <w:ind w:firstLine="400"/>
              <w:jc w:val="left"/>
            </w:pPr>
            <w:r>
              <w:rPr>
                <w:rFonts w:ascii="仿宋_GB2312" w:hAnsi="仿宋_GB2312" w:cs="仿宋_GB2312" w:eastAsia="仿宋_GB2312"/>
              </w:rPr>
              <w:t>阿里云DATAV标准版；</w:t>
            </w:r>
          </w:p>
          <w:p>
            <w:pPr>
              <w:pStyle w:val="null3"/>
              <w:ind w:firstLine="400"/>
              <w:jc w:val="left"/>
            </w:pPr>
            <w:r>
              <w:rPr>
                <w:rFonts w:ascii="仿宋_GB2312" w:hAnsi="仿宋_GB2312" w:cs="仿宋_GB2312" w:eastAsia="仿宋_GB2312"/>
              </w:rPr>
              <w:t>平台域名续费及互联网域名租赁；</w:t>
            </w:r>
          </w:p>
          <w:p>
            <w:pPr>
              <w:pStyle w:val="null3"/>
              <w:ind w:firstLine="400"/>
              <w:jc w:val="left"/>
            </w:pPr>
            <w:r>
              <w:rPr>
                <w:rFonts w:ascii="仿宋_GB2312" w:hAnsi="仿宋_GB2312" w:cs="仿宋_GB2312" w:eastAsia="仿宋_GB2312"/>
              </w:rPr>
              <w:t>SSL证书及 HTTPS认证服务费；</w:t>
            </w:r>
          </w:p>
          <w:p>
            <w:pPr>
              <w:pStyle w:val="null3"/>
              <w:ind w:firstLine="400"/>
              <w:jc w:val="left"/>
            </w:pPr>
            <w:r>
              <w:rPr>
                <w:rFonts w:ascii="仿宋_GB2312" w:hAnsi="仿宋_GB2312" w:cs="仿宋_GB2312" w:eastAsia="仿宋_GB2312"/>
              </w:rPr>
              <w:t>文件转换及互联网中转服务器续费；</w:t>
            </w:r>
          </w:p>
          <w:p>
            <w:pPr>
              <w:pStyle w:val="null3"/>
            </w:pPr>
            <w:r>
              <w:rPr>
                <w:rFonts w:ascii="仿宋_GB2312" w:hAnsi="仿宋_GB2312" w:cs="仿宋_GB2312" w:eastAsia="仿宋_GB2312"/>
              </w:rPr>
              <w:t xml:space="preserve">        手写签名服务及相关租赁费用。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锦业路一号都市之门A座。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进度款，按照合同约定完成第三方续费手续后，达到付款条件起30个工作日内，支付合同总金额的30.0%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所属行业为：软件和信息技术服务业（根据《中小企业划型标准规定》（工信部联企业〔2011〕300号），软件和信息技术服务业划分标准为“从业人员300人以下或营业收入10000万元以下的为中小微型企业。其中，从业人员100人及以上，且营业收入1000万元及以上的 为中型企业；从业人员10人及以上，且营业收入50万元及以上的为小型企业；从业人员10人以下或营业收入50万元以下的为微型企业”）。2、因系统格式设置无法调整，合同付款支付要求以第八章“拟签订采购合同文本”中体现的内容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至少包括①建设背景；②应用场景；③建设需求；④业务需求等。 评审标准：项目需求分析各部分内容全面详细、阐述条理清晰详尽、符合本项目采购需求得8分，每缺一项内容扣2分，评审内容有瑕疵的根据情况扣分，扣完为止。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至少包括①执法办案环节优化提速及模块开发方案；②平台数据接入、共享及融合方案；③互联网数据更新服务方案；④平台运维服务方案；⑤“高新区企业直通车”微信公众号维护方案等。 评审标准：项目实施方案各部分内容全面详细、阐述条理清晰详尽、符合本项目采购需求得20分，每缺一项内容扣4分，评审内容有瑕疵的根据情况扣分，扣完为止。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安全、保密管理方案</w:t>
            </w:r>
          </w:p>
        </w:tc>
        <w:tc>
          <w:tcPr>
            <w:tcW w:type="dxa" w:w="2492"/>
          </w:tcPr>
          <w:p>
            <w:pPr>
              <w:pStyle w:val="null3"/>
            </w:pPr>
            <w:r>
              <w:rPr>
                <w:rFonts w:ascii="仿宋_GB2312" w:hAnsi="仿宋_GB2312" w:cs="仿宋_GB2312" w:eastAsia="仿宋_GB2312"/>
              </w:rPr>
              <w:t>至少包括①安全管理方案；②保密管理方案等。 评审标准：安全、保密管理方案各部分内容全面详细、阐述条理清晰详尽、符合本项目采购需求得4分，每缺一项内容扣2分，评审内容有瑕疵的根据情况扣分，扣完为止。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售后及应急服务方案</w:t>
            </w:r>
          </w:p>
        </w:tc>
        <w:tc>
          <w:tcPr>
            <w:tcW w:type="dxa" w:w="2492"/>
          </w:tcPr>
          <w:p>
            <w:pPr>
              <w:pStyle w:val="null3"/>
            </w:pPr>
            <w:r>
              <w:rPr>
                <w:rFonts w:ascii="仿宋_GB2312" w:hAnsi="仿宋_GB2312" w:cs="仿宋_GB2312" w:eastAsia="仿宋_GB2312"/>
              </w:rPr>
              <w:t>至少包括①售后服务机构的设置；②售后服务方案；③响应能力及响应时间；④紧急故障处理方案等。 评审标准：售后及应急服务方案各部分内容全面详细、阐述条理清晰详尽、符合本项目采购需求得8分，每缺一项内容扣2分，评审内容有瑕疵的根据情况扣分，扣完为止。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为更好的服务于本项目及采购人，供应商对项目提出相应的服务承诺（包含针对本项目的①人员稳定性承诺；②服务质量和效率承诺；③ 第三方订阅服务费用支付承诺。 每提供一项得4分，最高得12分，未提供不得分。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项目负责人及团队人员配备</w:t>
            </w:r>
          </w:p>
        </w:tc>
        <w:tc>
          <w:tcPr>
            <w:tcW w:type="dxa" w:w="2492"/>
          </w:tcPr>
          <w:p>
            <w:pPr>
              <w:pStyle w:val="null3"/>
            </w:pPr>
            <w:r>
              <w:rPr>
                <w:rFonts w:ascii="仿宋_GB2312" w:hAnsi="仿宋_GB2312" w:cs="仿宋_GB2312" w:eastAsia="仿宋_GB2312"/>
              </w:rPr>
              <w:t>1.项目负责人 项目负责人具有相关领域工作经验和曾担任过类似项目，每提供一个计1.5分，满分3分。 （需提供类似项目证明材料，需体现项目负责人姓名） 2.团队人员配备 针对本项目提供完整的人员配置清单（清单内容至少包含：姓名、年龄、岗位工作职责、工作经验等），至少包含：软件开发岗位、系统运维岗、数据整理岗位、驻场人员、协助管理岗等，完全满足得20分，每少1类人员扣4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供应商具有2023年08月01日至今（以合同签订时间为准）类似项目业绩，响应文件中提供合同复印件并加盖供应商公章，每提供一个得3分，最高得15分。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