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F2D18">
      <w:pPr>
        <w:tabs>
          <w:tab w:val="left" w:pos="5670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  <w:t>具有独立承担民事责任能力</w:t>
      </w:r>
    </w:p>
    <w:p w14:paraId="5614C3C4">
      <w:pPr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企业法人应提供合法有效的标识有统一社会信用代码的营业执照；事业法人应提供事业单位法人证书；其他组织应提供合法登记证明文件 ，自然人提供身份证。</w:t>
      </w:r>
    </w:p>
    <w:p w14:paraId="66FE7CC5">
      <w:pPr>
        <w:ind w:firstLine="400" w:firstLineChars="200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若是分支机构参与投标，须提供总公司和分支机构的营业执照。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  <w:t>（以上内容响应文件中提供复印件或扫描件并进行电子签章）</w:t>
      </w:r>
    </w:p>
    <w:p w14:paraId="3A7399C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E2F48CD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5342BA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0</Lines>
  <Paragraphs>0</Paragraphs>
  <TotalTime>0</TotalTime>
  <ScaleCrop>false</ScaleCrop>
  <LinksUpToDate>false</LinksUpToDate>
  <CharactersWithSpaces>135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2026-08-24T02:47:21Z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