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DA803">
      <w:pPr>
        <w:pStyle w:val="3"/>
        <w:keepNext/>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firstLine="402" w:firstLineChars="200"/>
        <w:jc w:val="center"/>
        <w:textAlignment w:val="auto"/>
        <w:rPr>
          <w:rFonts w:hint="eastAsia" w:ascii="仿宋_GB2312" w:hAnsi="仿宋_GB2312" w:eastAsia="仿宋_GB2312" w:cs="仿宋_GB2312"/>
          <w:bCs/>
          <w:color w:val="auto"/>
          <w:sz w:val="20"/>
          <w:szCs w:val="20"/>
          <w:highlight w:val="none"/>
        </w:rPr>
      </w:pPr>
      <w:bookmarkStart w:id="0" w:name="_Toc19207"/>
      <w:bookmarkStart w:id="1" w:name="_Toc18545"/>
      <w:r>
        <w:rPr>
          <w:rFonts w:hint="eastAsia" w:ascii="仿宋_GB2312" w:hAnsi="仿宋_GB2312" w:eastAsia="仿宋_GB2312" w:cs="仿宋_GB2312"/>
          <w:bCs/>
          <w:color w:val="auto"/>
          <w:sz w:val="20"/>
          <w:szCs w:val="20"/>
          <w:highlight w:val="none"/>
        </w:rPr>
        <w:t>合同条款及格式</w:t>
      </w:r>
      <w:bookmarkEnd w:id="0"/>
      <w:bookmarkEnd w:id="1"/>
    </w:p>
    <w:p w14:paraId="619DE1EE">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p>
    <w:p w14:paraId="2CF05E00">
      <w:pPr>
        <w:keepLines w:val="0"/>
        <w:pageBreakBefore w:val="0"/>
        <w:shd w:val="clear" w:color="auto"/>
        <w:kinsoku/>
        <w:wordWrap/>
        <w:overflowPunct/>
        <w:topLinePunct w:val="0"/>
        <w:autoSpaceDE/>
        <w:autoSpaceDN/>
        <w:bidi w:val="0"/>
        <w:adjustRightInd/>
        <w:snapToGrid w:val="0"/>
        <w:spacing w:line="240" w:lineRule="auto"/>
        <w:ind w:left="0" w:firstLine="402"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b/>
          <w:bCs/>
          <w:color w:val="auto"/>
          <w:sz w:val="20"/>
          <w:szCs w:val="20"/>
        </w:rPr>
        <w:t>甲方：</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bCs/>
          <w:color w:val="auto"/>
          <w:sz w:val="20"/>
          <w:szCs w:val="20"/>
          <w:u w:val="single"/>
        </w:rPr>
        <w:t xml:space="preserve">                          </w:t>
      </w:r>
      <w:r>
        <w:rPr>
          <w:rFonts w:hint="eastAsia" w:ascii="仿宋_GB2312" w:hAnsi="仿宋_GB2312" w:eastAsia="仿宋_GB2312" w:cs="仿宋_GB2312"/>
          <w:color w:val="auto"/>
          <w:sz w:val="20"/>
          <w:szCs w:val="20"/>
          <w:u w:val="single"/>
        </w:rPr>
        <w:t xml:space="preserve">       </w:t>
      </w:r>
    </w:p>
    <w:p w14:paraId="7D9445E7">
      <w:pPr>
        <w:keepLines w:val="0"/>
        <w:pageBreakBefore w:val="0"/>
        <w:shd w:val="clear" w:color="auto"/>
        <w:kinsoku/>
        <w:wordWrap/>
        <w:overflowPunct/>
        <w:topLinePunct w:val="0"/>
        <w:autoSpaceDE/>
        <w:autoSpaceDN/>
        <w:bidi w:val="0"/>
        <w:adjustRightInd/>
        <w:snapToGrid w:val="0"/>
        <w:spacing w:line="240" w:lineRule="auto"/>
        <w:ind w:left="0" w:firstLine="402" w:firstLineChars="200"/>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b/>
          <w:bCs/>
          <w:color w:val="auto"/>
          <w:sz w:val="20"/>
          <w:szCs w:val="20"/>
        </w:rPr>
        <w:t>乙方：</w:t>
      </w:r>
      <w:r>
        <w:rPr>
          <w:rFonts w:hint="eastAsia" w:ascii="仿宋_GB2312" w:hAnsi="仿宋_GB2312" w:eastAsia="仿宋_GB2312" w:cs="仿宋_GB2312"/>
          <w:color w:val="auto"/>
          <w:sz w:val="20"/>
          <w:szCs w:val="20"/>
          <w:u w:val="single"/>
        </w:rPr>
        <w:t xml:space="preserve">                                    </w:t>
      </w:r>
    </w:p>
    <w:p w14:paraId="20916528">
      <w:pPr>
        <w:pStyle w:val="2"/>
        <w:keepLines w:val="0"/>
        <w:pageBreakBefore w:val="0"/>
        <w:shd w:val="clear"/>
        <w:kinsoku/>
        <w:wordWrap/>
        <w:overflowPunct/>
        <w:topLinePunct w:val="0"/>
        <w:autoSpaceDE/>
        <w:autoSpaceDN/>
        <w:bidi w:val="0"/>
        <w:adjustRightInd/>
        <w:spacing w:line="240" w:lineRule="auto"/>
        <w:ind w:left="0" w:firstLine="402"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b/>
          <w:bCs/>
          <w:color w:val="auto"/>
          <w:kern w:val="0"/>
          <w:sz w:val="20"/>
          <w:szCs w:val="20"/>
          <w:lang w:val="en-US" w:eastAsia="zh-CN" w:bidi="ar-SA"/>
        </w:rPr>
        <w:t>丙方：</w:t>
      </w:r>
      <w:r>
        <w:rPr>
          <w:rFonts w:hint="eastAsia" w:ascii="仿宋_GB2312" w:hAnsi="仿宋_GB2312" w:eastAsia="仿宋_GB2312" w:cs="仿宋_GB2312"/>
          <w:color w:val="auto"/>
          <w:sz w:val="20"/>
          <w:szCs w:val="20"/>
          <w:u w:val="single"/>
        </w:rPr>
        <w:t xml:space="preserve">                                    </w:t>
      </w:r>
    </w:p>
    <w:p w14:paraId="6F49B163">
      <w:pPr>
        <w:keepLines w:val="0"/>
        <w:pageBreakBefore w:val="0"/>
        <w:shd w:val="clear" w:color="auto"/>
        <w:kinsoku/>
        <w:wordWrap/>
        <w:overflowPunct/>
        <w:topLinePunct w:val="0"/>
        <w:autoSpaceDE/>
        <w:autoSpaceDN/>
        <w:bidi w:val="0"/>
        <w:adjustRightInd/>
        <w:snapToGrid w:val="0"/>
        <w:spacing w:line="240" w:lineRule="auto"/>
        <w:ind w:left="0" w:firstLine="400" w:firstLineChars="200"/>
        <w:jc w:val="left"/>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依据《中华人民共和国</w:t>
      </w:r>
      <w:r>
        <w:rPr>
          <w:rFonts w:hint="eastAsia" w:ascii="仿宋_GB2312" w:hAnsi="仿宋_GB2312" w:eastAsia="仿宋_GB2312" w:cs="仿宋_GB2312"/>
          <w:color w:val="auto"/>
          <w:sz w:val="20"/>
          <w:szCs w:val="20"/>
          <w:lang w:val="en-US" w:eastAsia="zh-CN"/>
        </w:rPr>
        <w:t>民法典</w:t>
      </w:r>
      <w:r>
        <w:rPr>
          <w:rFonts w:hint="eastAsia" w:ascii="仿宋_GB2312" w:hAnsi="仿宋_GB2312" w:eastAsia="仿宋_GB2312" w:cs="仿宋_GB2312"/>
          <w:color w:val="auto"/>
          <w:sz w:val="20"/>
          <w:szCs w:val="20"/>
        </w:rPr>
        <w:t>》及其他有关法律法规，遵循平等、自愿、公平和诚实信用的原则，甲、乙</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丙三</w:t>
      </w:r>
      <w:r>
        <w:rPr>
          <w:rFonts w:hint="eastAsia" w:ascii="仿宋_GB2312" w:hAnsi="仿宋_GB2312" w:eastAsia="仿宋_GB2312" w:cs="仿宋_GB2312"/>
          <w:color w:val="auto"/>
          <w:sz w:val="20"/>
          <w:szCs w:val="20"/>
        </w:rPr>
        <w:t>方就</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相关事项达成一致意见，订立本合同。</w:t>
      </w:r>
    </w:p>
    <w:p w14:paraId="64CBB9DF">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一、项目范围</w:t>
      </w:r>
    </w:p>
    <w:p w14:paraId="110CEAA5">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本项目包括如下内容：</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p>
    <w:p w14:paraId="004EEB2D">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default" w:ascii="仿宋_GB2312" w:hAnsi="仿宋_GB2312" w:eastAsia="仿宋_GB2312" w:cs="仿宋_GB2312"/>
          <w:b/>
          <w:bCs/>
          <w:color w:val="auto"/>
          <w:sz w:val="20"/>
          <w:szCs w:val="20"/>
          <w:lang w:val="en-US"/>
        </w:rPr>
      </w:pPr>
      <w:r>
        <w:rPr>
          <w:rFonts w:hint="eastAsia" w:ascii="仿宋_GB2312" w:hAnsi="仿宋_GB2312" w:eastAsia="仿宋_GB2312" w:cs="仿宋_GB2312"/>
          <w:b/>
          <w:bCs/>
          <w:color w:val="auto"/>
          <w:sz w:val="20"/>
          <w:szCs w:val="20"/>
        </w:rPr>
        <w:t>二、项目</w:t>
      </w:r>
      <w:r>
        <w:rPr>
          <w:rFonts w:hint="eastAsia" w:ascii="仿宋_GB2312" w:hAnsi="仿宋_GB2312" w:eastAsia="仿宋_GB2312" w:cs="仿宋_GB2312"/>
          <w:b/>
          <w:bCs/>
          <w:color w:val="auto"/>
          <w:sz w:val="20"/>
          <w:szCs w:val="20"/>
          <w:lang w:val="en-US" w:eastAsia="zh-CN"/>
        </w:rPr>
        <w:t>服务期限</w:t>
      </w:r>
    </w:p>
    <w:p w14:paraId="14746B54">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本项目</w:t>
      </w:r>
      <w:r>
        <w:rPr>
          <w:rFonts w:hint="eastAsia" w:ascii="仿宋_GB2312" w:hAnsi="仿宋_GB2312" w:eastAsia="仿宋_GB2312" w:cs="仿宋_GB2312"/>
          <w:b w:val="0"/>
          <w:bCs w:val="0"/>
          <w:color w:val="auto"/>
          <w:sz w:val="20"/>
          <w:szCs w:val="20"/>
          <w:lang w:val="en-US" w:eastAsia="zh-CN"/>
        </w:rPr>
        <w:t>服务期限</w:t>
      </w:r>
      <w:r>
        <w:rPr>
          <w:rFonts w:hint="eastAsia" w:ascii="仿宋_GB2312" w:hAnsi="仿宋_GB2312" w:eastAsia="仿宋_GB2312" w:cs="仿宋_GB2312"/>
          <w:color w:val="auto"/>
          <w:sz w:val="20"/>
          <w:szCs w:val="20"/>
        </w:rPr>
        <w:t>为</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w:t>
      </w:r>
    </w:p>
    <w:p w14:paraId="39024C0D">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三、合同文件及解释</w:t>
      </w:r>
    </w:p>
    <w:p w14:paraId="1C835E75">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合同协议书</w:t>
      </w:r>
    </w:p>
    <w:p w14:paraId="0ED280F3">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成交通知书</w:t>
      </w:r>
    </w:p>
    <w:p w14:paraId="3B0B6EC6">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lang w:val="en-US" w:eastAsia="zh-CN"/>
        </w:rPr>
        <w:t>竞争性磋商</w:t>
      </w:r>
      <w:r>
        <w:rPr>
          <w:rFonts w:hint="eastAsia" w:ascii="仿宋_GB2312" w:hAnsi="仿宋_GB2312" w:eastAsia="仿宋_GB2312" w:cs="仿宋_GB2312"/>
          <w:color w:val="auto"/>
          <w:kern w:val="28"/>
          <w:sz w:val="20"/>
          <w:szCs w:val="20"/>
        </w:rPr>
        <w:t>文件及澄清补遗文件</w:t>
      </w:r>
    </w:p>
    <w:p w14:paraId="57C74428">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成交单位响应文件</w:t>
      </w:r>
    </w:p>
    <w:p w14:paraId="778424F3">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技术标准、规范</w:t>
      </w:r>
    </w:p>
    <w:p w14:paraId="047035F6">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其他合同文件</w:t>
      </w:r>
    </w:p>
    <w:p w14:paraId="07A16A7A">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四、合同价款、结算与支付</w:t>
      </w:r>
    </w:p>
    <w:p w14:paraId="5BFE359A">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1、本合同总价款</w:t>
      </w:r>
    </w:p>
    <w:p w14:paraId="34E80837">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28"/>
          <w:sz w:val="20"/>
          <w:szCs w:val="20"/>
        </w:rPr>
        <w:t>本合同总价款为</w:t>
      </w:r>
      <w:r>
        <w:rPr>
          <w:rFonts w:hint="eastAsia" w:ascii="仿宋_GB2312" w:hAnsi="仿宋_GB2312" w:eastAsia="仿宋_GB2312" w:cs="仿宋_GB2312"/>
          <w:b/>
          <w:color w:val="auto"/>
          <w:kern w:val="28"/>
          <w:sz w:val="20"/>
          <w:szCs w:val="20"/>
          <w:u w:val="single"/>
        </w:rPr>
        <w:t>RMB            （人民币大写：         )</w:t>
      </w:r>
      <w:r>
        <w:rPr>
          <w:rFonts w:hint="eastAsia" w:ascii="仿宋_GB2312" w:hAnsi="仿宋_GB2312" w:eastAsia="仿宋_GB2312" w:cs="仿宋_GB2312"/>
          <w:color w:val="auto"/>
          <w:kern w:val="28"/>
          <w:sz w:val="20"/>
          <w:szCs w:val="20"/>
        </w:rPr>
        <w:t>，该合同总价包括承接甲方项目所承担的全过程的一切费用</w:t>
      </w:r>
      <w:r>
        <w:rPr>
          <w:rFonts w:hint="eastAsia" w:ascii="仿宋_GB2312" w:hAnsi="仿宋_GB2312" w:eastAsia="仿宋_GB2312" w:cs="仿宋_GB2312"/>
          <w:color w:val="auto"/>
          <w:sz w:val="20"/>
          <w:szCs w:val="20"/>
        </w:rPr>
        <w:t>。</w:t>
      </w:r>
    </w:p>
    <w:tbl>
      <w:tblPr>
        <w:tblStyle w:val="8"/>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16"/>
        <w:gridCol w:w="1125"/>
        <w:gridCol w:w="947"/>
        <w:gridCol w:w="724"/>
        <w:gridCol w:w="988"/>
        <w:gridCol w:w="1161"/>
        <w:gridCol w:w="1446"/>
      </w:tblGrid>
      <w:tr w14:paraId="7147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4AECFF75">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序号</w:t>
            </w:r>
          </w:p>
        </w:tc>
        <w:tc>
          <w:tcPr>
            <w:tcW w:w="1316" w:type="dxa"/>
            <w:noWrap w:val="0"/>
            <w:vAlign w:val="center"/>
          </w:tcPr>
          <w:p w14:paraId="4F6D438D">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系统名称</w:t>
            </w:r>
          </w:p>
        </w:tc>
        <w:tc>
          <w:tcPr>
            <w:tcW w:w="1125" w:type="dxa"/>
            <w:noWrap w:val="0"/>
            <w:vAlign w:val="center"/>
          </w:tcPr>
          <w:p w14:paraId="22479CCF">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主要技术指标</w:t>
            </w:r>
          </w:p>
        </w:tc>
        <w:tc>
          <w:tcPr>
            <w:tcW w:w="947" w:type="dxa"/>
            <w:noWrap w:val="0"/>
            <w:vAlign w:val="center"/>
          </w:tcPr>
          <w:p w14:paraId="40AC8E59">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单位</w:t>
            </w:r>
          </w:p>
        </w:tc>
        <w:tc>
          <w:tcPr>
            <w:tcW w:w="724" w:type="dxa"/>
            <w:noWrap w:val="0"/>
            <w:vAlign w:val="center"/>
          </w:tcPr>
          <w:p w14:paraId="728CAA5B">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数量</w:t>
            </w:r>
          </w:p>
        </w:tc>
        <w:tc>
          <w:tcPr>
            <w:tcW w:w="988" w:type="dxa"/>
            <w:noWrap w:val="0"/>
            <w:vAlign w:val="center"/>
          </w:tcPr>
          <w:p w14:paraId="22DE59BA">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lang w:val="en-US" w:eastAsia="zh-CN"/>
              </w:rPr>
            </w:pPr>
            <w:r>
              <w:rPr>
                <w:rFonts w:hint="eastAsia" w:ascii="仿宋_GB2312" w:hAnsi="仿宋_GB2312" w:eastAsia="仿宋_GB2312" w:cs="仿宋_GB2312"/>
                <w:bCs/>
                <w:color w:val="auto"/>
                <w:sz w:val="20"/>
                <w:szCs w:val="20"/>
                <w:lang w:val="en-US" w:eastAsia="zh-CN"/>
              </w:rPr>
              <w:t>单价</w:t>
            </w:r>
          </w:p>
          <w:p w14:paraId="2E35DA8B">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（元）</w:t>
            </w:r>
          </w:p>
        </w:tc>
        <w:tc>
          <w:tcPr>
            <w:tcW w:w="1161" w:type="dxa"/>
            <w:noWrap w:val="0"/>
            <w:vAlign w:val="center"/>
          </w:tcPr>
          <w:p w14:paraId="4B4C7F85">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合价</w:t>
            </w:r>
          </w:p>
          <w:p w14:paraId="42DAABDD">
            <w:pPr>
              <w:keepLines w:val="0"/>
              <w:pageBreakBefore w:val="0"/>
              <w:shd w:val="clear"/>
              <w:kinsoku/>
              <w:wordWrap/>
              <w:overflowPunct/>
              <w:topLinePunct w:val="0"/>
              <w:autoSpaceDE/>
              <w:autoSpaceDN/>
              <w:bidi w:val="0"/>
              <w:adjustRightInd/>
              <w:spacing w:line="240" w:lineRule="auto"/>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（元）</w:t>
            </w:r>
          </w:p>
        </w:tc>
        <w:tc>
          <w:tcPr>
            <w:tcW w:w="1446" w:type="dxa"/>
            <w:noWrap w:val="0"/>
            <w:vAlign w:val="center"/>
          </w:tcPr>
          <w:p w14:paraId="0B31FFF9">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备注</w:t>
            </w:r>
          </w:p>
        </w:tc>
      </w:tr>
      <w:tr w14:paraId="7C78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68827B25">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1</w:t>
            </w:r>
          </w:p>
        </w:tc>
        <w:tc>
          <w:tcPr>
            <w:tcW w:w="1316" w:type="dxa"/>
            <w:noWrap w:val="0"/>
            <w:vAlign w:val="center"/>
          </w:tcPr>
          <w:p w14:paraId="4F9FE7A7">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125" w:type="dxa"/>
            <w:noWrap w:val="0"/>
            <w:vAlign w:val="center"/>
          </w:tcPr>
          <w:p w14:paraId="668F9E57">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947" w:type="dxa"/>
            <w:noWrap w:val="0"/>
            <w:vAlign w:val="center"/>
          </w:tcPr>
          <w:p w14:paraId="2573C86F">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724" w:type="dxa"/>
            <w:noWrap w:val="0"/>
            <w:vAlign w:val="center"/>
          </w:tcPr>
          <w:p w14:paraId="2F17D0C5">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988" w:type="dxa"/>
            <w:noWrap w:val="0"/>
            <w:vAlign w:val="center"/>
          </w:tcPr>
          <w:p w14:paraId="4092E753">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161" w:type="dxa"/>
            <w:noWrap w:val="0"/>
            <w:vAlign w:val="center"/>
          </w:tcPr>
          <w:p w14:paraId="69315F5D">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446" w:type="dxa"/>
            <w:noWrap w:val="0"/>
            <w:vAlign w:val="center"/>
          </w:tcPr>
          <w:p w14:paraId="5349A125">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r>
      <w:tr w14:paraId="32AB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1A8AA5DC">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2</w:t>
            </w:r>
          </w:p>
        </w:tc>
        <w:tc>
          <w:tcPr>
            <w:tcW w:w="1316" w:type="dxa"/>
            <w:noWrap w:val="0"/>
            <w:vAlign w:val="center"/>
          </w:tcPr>
          <w:p w14:paraId="1F57C7B3">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125" w:type="dxa"/>
            <w:noWrap w:val="0"/>
            <w:vAlign w:val="center"/>
          </w:tcPr>
          <w:p w14:paraId="72B8C55E">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947" w:type="dxa"/>
            <w:noWrap w:val="0"/>
            <w:vAlign w:val="center"/>
          </w:tcPr>
          <w:p w14:paraId="5A3E6495">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724" w:type="dxa"/>
            <w:noWrap w:val="0"/>
            <w:vAlign w:val="center"/>
          </w:tcPr>
          <w:p w14:paraId="20D02F59">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988" w:type="dxa"/>
            <w:noWrap w:val="0"/>
            <w:vAlign w:val="center"/>
          </w:tcPr>
          <w:p w14:paraId="0F03FA91">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161" w:type="dxa"/>
            <w:noWrap w:val="0"/>
            <w:vAlign w:val="center"/>
          </w:tcPr>
          <w:p w14:paraId="586CF6C1">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446" w:type="dxa"/>
            <w:noWrap w:val="0"/>
            <w:vAlign w:val="center"/>
          </w:tcPr>
          <w:p w14:paraId="6189E598">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r>
      <w:tr w14:paraId="2FEF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25D381CD">
            <w:pPr>
              <w:keepLines w:val="0"/>
              <w:pageBreakBefore w:val="0"/>
              <w:shd w:val="clear"/>
              <w:kinsoku/>
              <w:wordWrap/>
              <w:overflowPunct/>
              <w:topLinePunct w:val="0"/>
              <w:autoSpaceDE/>
              <w:autoSpaceDN/>
              <w:bidi w:val="0"/>
              <w:adjustRightInd/>
              <w:spacing w:line="240" w:lineRule="auto"/>
              <w:ind w:left="0" w:firstLine="402" w:firstLineChars="200"/>
              <w:jc w:val="center"/>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合计金额（元）</w:t>
            </w:r>
          </w:p>
        </w:tc>
        <w:tc>
          <w:tcPr>
            <w:tcW w:w="1125" w:type="dxa"/>
            <w:noWrap w:val="0"/>
            <w:vAlign w:val="center"/>
          </w:tcPr>
          <w:p w14:paraId="03FBB9C0">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大写</w:t>
            </w:r>
          </w:p>
        </w:tc>
        <w:tc>
          <w:tcPr>
            <w:tcW w:w="2659" w:type="dxa"/>
            <w:gridSpan w:val="3"/>
            <w:noWrap w:val="0"/>
            <w:vAlign w:val="center"/>
          </w:tcPr>
          <w:p w14:paraId="73286810">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c>
          <w:tcPr>
            <w:tcW w:w="1161" w:type="dxa"/>
            <w:noWrap w:val="0"/>
            <w:vAlign w:val="center"/>
          </w:tcPr>
          <w:p w14:paraId="527227ED">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小写</w:t>
            </w:r>
          </w:p>
        </w:tc>
        <w:tc>
          <w:tcPr>
            <w:tcW w:w="1446" w:type="dxa"/>
            <w:noWrap w:val="0"/>
            <w:vAlign w:val="center"/>
          </w:tcPr>
          <w:p w14:paraId="7A57E57D">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r>
      <w:tr w14:paraId="68D7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3E3781CD">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其它</w:t>
            </w:r>
          </w:p>
        </w:tc>
        <w:tc>
          <w:tcPr>
            <w:tcW w:w="6391" w:type="dxa"/>
            <w:gridSpan w:val="6"/>
            <w:noWrap w:val="0"/>
            <w:vAlign w:val="center"/>
          </w:tcPr>
          <w:p w14:paraId="1E1A9509">
            <w:pPr>
              <w:keepLines w:val="0"/>
              <w:pageBreakBefore w:val="0"/>
              <w:shd w:val="clear"/>
              <w:kinsoku/>
              <w:wordWrap/>
              <w:overflowPunct/>
              <w:topLinePunct w:val="0"/>
              <w:autoSpaceDE/>
              <w:autoSpaceDN/>
              <w:bidi w:val="0"/>
              <w:adjustRightInd/>
              <w:spacing w:line="240" w:lineRule="auto"/>
              <w:ind w:left="0" w:firstLine="400" w:firstLineChars="200"/>
              <w:jc w:val="center"/>
              <w:rPr>
                <w:rFonts w:hint="eastAsia" w:ascii="仿宋_GB2312" w:hAnsi="仿宋_GB2312" w:eastAsia="仿宋_GB2312" w:cs="仿宋_GB2312"/>
                <w:bCs/>
                <w:color w:val="auto"/>
                <w:sz w:val="20"/>
                <w:szCs w:val="20"/>
              </w:rPr>
            </w:pPr>
          </w:p>
        </w:tc>
      </w:tr>
    </w:tbl>
    <w:p w14:paraId="50194A22">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highlight w:val="none"/>
        </w:rPr>
      </w:pPr>
      <w:r>
        <w:rPr>
          <w:rFonts w:hint="eastAsia" w:ascii="仿宋_GB2312" w:hAnsi="仿宋_GB2312" w:eastAsia="仿宋_GB2312" w:cs="仿宋_GB2312"/>
          <w:color w:val="auto"/>
          <w:kern w:val="28"/>
          <w:sz w:val="20"/>
          <w:szCs w:val="20"/>
          <w:highlight w:val="none"/>
        </w:rPr>
        <w:t>2、支付方式</w:t>
      </w:r>
    </w:p>
    <w:p w14:paraId="047931C5">
      <w:pPr>
        <w:pStyle w:val="13"/>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highlight w:val="none"/>
          <w:lang w:val="zh-TW" w:eastAsia="zh-CN"/>
        </w:rPr>
      </w:pPr>
      <w:r>
        <w:rPr>
          <w:rFonts w:hint="eastAsia" w:ascii="仿宋_GB2312" w:hAnsi="仿宋_GB2312" w:eastAsia="仿宋_GB2312" w:cs="仿宋_GB2312"/>
          <w:color w:val="auto"/>
          <w:highlight w:val="none"/>
          <w:lang w:val="en-US" w:eastAsia="zh-CN"/>
        </w:rPr>
        <w:t>2.1、预付款</w:t>
      </w:r>
      <w:r>
        <w:rPr>
          <w:rFonts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zh-TW" w:eastAsia="zh-CN"/>
        </w:rPr>
        <w:t>合同签订后，达到付款条件起30</w:t>
      </w:r>
      <w:r>
        <w:rPr>
          <w:rFonts w:ascii="仿宋_GB2312" w:hAnsi="仿宋_GB2312" w:eastAsia="仿宋_GB2312" w:cs="仿宋_GB2312"/>
          <w:color w:val="auto"/>
          <w:highlight w:val="none"/>
        </w:rPr>
        <w:t>个工作日内</w:t>
      </w:r>
      <w:r>
        <w:rPr>
          <w:rFonts w:hint="eastAsia" w:ascii="仿宋_GB2312" w:hAnsi="仿宋_GB2312" w:eastAsia="仿宋_GB2312" w:cs="仿宋_GB2312"/>
          <w:color w:val="auto"/>
          <w:highlight w:val="none"/>
          <w:lang w:val="zh-TW" w:eastAsia="zh-CN"/>
        </w:rPr>
        <w:t>，支付合同总金额的</w:t>
      </w:r>
      <w:r>
        <w:rPr>
          <w:rFonts w:hint="eastAsia" w:ascii="仿宋_GB2312" w:hAnsi="仿宋_GB2312" w:eastAsia="仿宋_GB2312" w:cs="仿宋_GB2312"/>
          <w:color w:val="auto"/>
          <w:highlight w:val="none"/>
          <w:lang w:val="en-US" w:eastAsia="zh-CN"/>
        </w:rPr>
        <w:t>30</w:t>
      </w:r>
      <w:r>
        <w:rPr>
          <w:rFonts w:hint="eastAsia" w:ascii="仿宋_GB2312" w:hAnsi="仿宋_GB2312" w:eastAsia="仿宋_GB2312" w:cs="仿宋_GB2312"/>
          <w:color w:val="auto"/>
          <w:highlight w:val="none"/>
          <w:lang w:val="zh-TW" w:eastAsia="zh-CN"/>
        </w:rPr>
        <w:t>.00%；</w:t>
      </w:r>
    </w:p>
    <w:p w14:paraId="4D2C39BA">
      <w:pPr>
        <w:pStyle w:val="13"/>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highlight w:val="none"/>
          <w:lang w:val="zh-TW"/>
        </w:rPr>
      </w:pPr>
      <w:r>
        <w:rPr>
          <w:rFonts w:hint="eastAsia" w:ascii="仿宋_GB2312" w:hAnsi="仿宋_GB2312" w:eastAsia="仿宋_GB2312" w:cs="仿宋_GB2312"/>
          <w:color w:val="auto"/>
          <w:highlight w:val="none"/>
          <w:lang w:val="en-US" w:eastAsia="zh-CN"/>
        </w:rPr>
        <w:t>2.2、</w:t>
      </w:r>
      <w:r>
        <w:rPr>
          <w:rFonts w:ascii="仿宋_GB2312" w:hAnsi="仿宋_GB2312" w:eastAsia="仿宋_GB2312" w:cs="仿宋_GB2312"/>
          <w:color w:val="auto"/>
          <w:highlight w:val="none"/>
        </w:rPr>
        <w:t>进度款，</w:t>
      </w:r>
      <w:r>
        <w:rPr>
          <w:rFonts w:hint="eastAsia" w:ascii="仿宋_GB2312" w:hAnsi="仿宋_GB2312" w:eastAsia="仿宋_GB2312" w:cs="仿宋_GB2312"/>
          <w:color w:val="auto"/>
          <w:highlight w:val="none"/>
          <w:lang w:val="zh-TW" w:eastAsia="zh-CN"/>
        </w:rPr>
        <w:t>按照合同约定完成第三方续费手续后，达到付款条件起30</w:t>
      </w:r>
      <w:r>
        <w:rPr>
          <w:rFonts w:ascii="仿宋_GB2312" w:hAnsi="仿宋_GB2312" w:eastAsia="仿宋_GB2312" w:cs="仿宋_GB2312"/>
          <w:color w:val="auto"/>
          <w:highlight w:val="none"/>
        </w:rPr>
        <w:t>个工作日内</w:t>
      </w:r>
      <w:r>
        <w:rPr>
          <w:rFonts w:hint="eastAsia" w:ascii="仿宋_GB2312" w:hAnsi="仿宋_GB2312" w:eastAsia="仿宋_GB2312" w:cs="仿宋_GB2312"/>
          <w:color w:val="auto"/>
          <w:highlight w:val="none"/>
          <w:lang w:val="zh-TW" w:eastAsia="zh-CN"/>
        </w:rPr>
        <w:t>，支付合同总金额的</w:t>
      </w:r>
      <w:r>
        <w:rPr>
          <w:rFonts w:hint="eastAsia" w:ascii="仿宋_GB2312" w:hAnsi="仿宋_GB2312" w:eastAsia="仿宋_GB2312" w:cs="仿宋_GB2312"/>
          <w:color w:val="auto"/>
          <w:highlight w:val="none"/>
          <w:lang w:val="en-US" w:eastAsia="zh-CN"/>
        </w:rPr>
        <w:t>30</w:t>
      </w:r>
      <w:r>
        <w:rPr>
          <w:rFonts w:hint="eastAsia" w:ascii="仿宋_GB2312" w:hAnsi="仿宋_GB2312" w:eastAsia="仿宋_GB2312" w:cs="仿宋_GB2312"/>
          <w:color w:val="auto"/>
          <w:highlight w:val="none"/>
          <w:lang w:val="zh-TW" w:eastAsia="zh-CN"/>
        </w:rPr>
        <w:t>.00%；</w:t>
      </w:r>
    </w:p>
    <w:p w14:paraId="7BB5876F">
      <w:pPr>
        <w:pStyle w:val="13"/>
        <w:keepLines w:val="0"/>
        <w:pageBreakBefore w:val="0"/>
        <w:shd w:val="clear"/>
        <w:kinsoku/>
        <w:wordWrap/>
        <w:overflowPunct/>
        <w:topLinePunct w:val="0"/>
        <w:autoSpaceDE/>
        <w:autoSpaceDN/>
        <w:bidi w:val="0"/>
        <w:adjustRightInd/>
        <w:spacing w:line="240" w:lineRule="auto"/>
        <w:ind w:left="0" w:firstLine="400" w:firstLineChars="200"/>
        <w:rPr>
          <w:rFonts w:hint="eastAsia"/>
          <w:color w:val="auto"/>
          <w:highlight w:val="none"/>
        </w:rPr>
      </w:pPr>
      <w:r>
        <w:rPr>
          <w:rFonts w:hint="eastAsia" w:ascii="仿宋_GB2312" w:hAnsi="仿宋_GB2312" w:eastAsia="仿宋_GB2312" w:cs="仿宋_GB2312"/>
          <w:color w:val="auto"/>
          <w:highlight w:val="none"/>
          <w:lang w:val="en-US" w:eastAsia="zh-CN"/>
        </w:rPr>
        <w:t>2.3、</w:t>
      </w:r>
      <w:r>
        <w:rPr>
          <w:rFonts w:ascii="仿宋_GB2312" w:hAnsi="仿宋_GB2312" w:eastAsia="仿宋_GB2312" w:cs="仿宋_GB2312"/>
          <w:color w:val="auto"/>
          <w:highlight w:val="none"/>
        </w:rPr>
        <w:t>进度款</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zh-TW" w:eastAsia="zh-CN"/>
        </w:rPr>
        <w:t xml:space="preserve"> 项目终验合格后，达到付款条件起30</w:t>
      </w:r>
      <w:r>
        <w:rPr>
          <w:rFonts w:ascii="仿宋_GB2312" w:hAnsi="仿宋_GB2312" w:eastAsia="仿宋_GB2312" w:cs="仿宋_GB2312"/>
          <w:color w:val="auto"/>
          <w:highlight w:val="none"/>
        </w:rPr>
        <w:t>个工作日内</w:t>
      </w:r>
      <w:r>
        <w:rPr>
          <w:rFonts w:hint="eastAsia" w:ascii="仿宋_GB2312" w:hAnsi="仿宋_GB2312" w:eastAsia="仿宋_GB2312" w:cs="仿宋_GB2312"/>
          <w:color w:val="auto"/>
          <w:highlight w:val="none"/>
          <w:lang w:val="zh-TW" w:eastAsia="zh-CN"/>
        </w:rPr>
        <w:t>，支付合同总金额的</w:t>
      </w:r>
      <w:r>
        <w:rPr>
          <w:rFonts w:hint="eastAsia" w:ascii="仿宋_GB2312" w:hAnsi="仿宋_GB2312" w:eastAsia="仿宋_GB2312" w:cs="仿宋_GB2312"/>
          <w:color w:val="auto"/>
          <w:highlight w:val="none"/>
          <w:lang w:val="en-US" w:eastAsia="zh-CN"/>
        </w:rPr>
        <w:t>40</w:t>
      </w:r>
      <w:r>
        <w:rPr>
          <w:rFonts w:hint="eastAsia" w:ascii="仿宋_GB2312" w:hAnsi="仿宋_GB2312" w:eastAsia="仿宋_GB2312" w:cs="仿宋_GB2312"/>
          <w:color w:val="auto"/>
          <w:highlight w:val="none"/>
          <w:lang w:val="zh-TW" w:eastAsia="zh-CN"/>
        </w:rPr>
        <w:t>.00%。</w:t>
      </w:r>
    </w:p>
    <w:p w14:paraId="6FAD2470">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3、结算方式</w:t>
      </w:r>
    </w:p>
    <w:p w14:paraId="392F41DE">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3.1、凡因乙方报价漏项、误报等导致的费用差异均由乙方自行承担，且必须按合同约定继续履行此部分合同内容，结算时不予调整。</w:t>
      </w:r>
    </w:p>
    <w:p w14:paraId="64063398">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3.2、有关部门验收合格后，供应商凭政府采购验收单、合同、</w:t>
      </w:r>
      <w:r>
        <w:rPr>
          <w:rFonts w:hint="eastAsia" w:ascii="仿宋_GB2312" w:hAnsi="仿宋_GB2312" w:eastAsia="仿宋_GB2312" w:cs="仿宋_GB2312"/>
          <w:color w:val="auto"/>
          <w:sz w:val="20"/>
          <w:szCs w:val="20"/>
          <w:lang w:val="en-US" w:eastAsia="zh-CN"/>
        </w:rPr>
        <w:t>成交</w:t>
      </w:r>
      <w:r>
        <w:rPr>
          <w:rFonts w:hint="eastAsia" w:ascii="仿宋_GB2312" w:hAnsi="仿宋_GB2312" w:eastAsia="仿宋_GB2312" w:cs="仿宋_GB2312"/>
          <w:color w:val="auto"/>
          <w:sz w:val="20"/>
          <w:szCs w:val="20"/>
        </w:rPr>
        <w:t>通知书及发票原件等相关手续到</w:t>
      </w:r>
      <w:r>
        <w:rPr>
          <w:rFonts w:hint="eastAsia" w:ascii="仿宋_GB2312" w:hAnsi="仿宋_GB2312" w:eastAsia="仿宋_GB2312" w:cs="仿宋_GB2312"/>
          <w:color w:val="auto"/>
          <w:sz w:val="20"/>
          <w:szCs w:val="20"/>
          <w:lang w:val="en-US" w:eastAsia="zh-CN"/>
        </w:rPr>
        <w:t>甲方</w:t>
      </w:r>
      <w:r>
        <w:rPr>
          <w:rFonts w:hint="eastAsia" w:ascii="仿宋_GB2312" w:hAnsi="仿宋_GB2312" w:eastAsia="仿宋_GB2312" w:cs="仿宋_GB2312"/>
          <w:color w:val="auto"/>
          <w:sz w:val="20"/>
          <w:szCs w:val="20"/>
        </w:rPr>
        <w:t>处办理结算手续。</w:t>
      </w:r>
    </w:p>
    <w:p w14:paraId="7AEFF912">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五、权利与义务</w:t>
      </w:r>
    </w:p>
    <w:p w14:paraId="1DA799A4">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（一）甲方的权利与义务</w:t>
      </w:r>
    </w:p>
    <w:p w14:paraId="2006D88D">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b w:val="0"/>
          <w:bCs w:val="0"/>
          <w:color w:val="auto"/>
          <w:kern w:val="28"/>
          <w:sz w:val="20"/>
          <w:szCs w:val="20"/>
        </w:rPr>
      </w:pPr>
      <w:r>
        <w:rPr>
          <w:rFonts w:hint="eastAsia" w:ascii="仿宋_GB2312" w:hAnsi="仿宋_GB2312" w:eastAsia="仿宋_GB2312" w:cs="仿宋_GB2312"/>
          <w:b w:val="0"/>
          <w:bCs w:val="0"/>
          <w:color w:val="auto"/>
          <w:kern w:val="28"/>
          <w:sz w:val="20"/>
          <w:szCs w:val="20"/>
        </w:rPr>
        <w:t>1、甲方有权要求乙方</w:t>
      </w:r>
      <w:r>
        <w:rPr>
          <w:rFonts w:hint="eastAsia" w:ascii="仿宋_GB2312" w:hAnsi="仿宋_GB2312" w:eastAsia="仿宋_GB2312" w:cs="仿宋_GB2312"/>
          <w:b w:val="0"/>
          <w:bCs w:val="0"/>
          <w:color w:val="auto"/>
          <w:kern w:val="28"/>
          <w:sz w:val="20"/>
          <w:szCs w:val="20"/>
          <w:lang w:val="en-US" w:eastAsia="zh-CN"/>
        </w:rPr>
        <w:t>服务</w:t>
      </w:r>
      <w:r>
        <w:rPr>
          <w:rFonts w:hint="eastAsia" w:ascii="仿宋_GB2312" w:hAnsi="仿宋_GB2312" w:eastAsia="仿宋_GB2312" w:cs="仿宋_GB2312"/>
          <w:b w:val="0"/>
          <w:bCs w:val="0"/>
          <w:color w:val="auto"/>
          <w:kern w:val="28"/>
          <w:sz w:val="20"/>
          <w:szCs w:val="20"/>
        </w:rPr>
        <w:t>项目内容符合国家相关规范，符合国家验收标准，能够通过国家验收。</w:t>
      </w:r>
    </w:p>
    <w:p w14:paraId="038EC19E">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b w:val="0"/>
          <w:bCs w:val="0"/>
          <w:color w:val="auto"/>
          <w:kern w:val="28"/>
          <w:sz w:val="20"/>
          <w:szCs w:val="20"/>
        </w:rPr>
      </w:pPr>
      <w:r>
        <w:rPr>
          <w:rFonts w:hint="eastAsia" w:ascii="仿宋_GB2312" w:hAnsi="仿宋_GB2312" w:eastAsia="仿宋_GB2312" w:cs="仿宋_GB2312"/>
          <w:b w:val="0"/>
          <w:bCs w:val="0"/>
          <w:color w:val="auto"/>
          <w:kern w:val="28"/>
          <w:sz w:val="20"/>
          <w:szCs w:val="20"/>
        </w:rPr>
        <w:t>2、甲方有权要求乙方配合甲方完成</w:t>
      </w:r>
      <w:r>
        <w:rPr>
          <w:rFonts w:hint="eastAsia" w:ascii="仿宋_GB2312" w:hAnsi="仿宋_GB2312" w:eastAsia="仿宋_GB2312" w:cs="仿宋_GB2312"/>
          <w:b w:val="0"/>
          <w:bCs w:val="0"/>
          <w:color w:val="auto"/>
          <w:kern w:val="28"/>
          <w:sz w:val="20"/>
          <w:szCs w:val="20"/>
          <w:lang w:val="en-US" w:eastAsia="zh-CN"/>
        </w:rPr>
        <w:t>服务</w:t>
      </w:r>
      <w:r>
        <w:rPr>
          <w:rFonts w:hint="eastAsia" w:ascii="仿宋_GB2312" w:hAnsi="仿宋_GB2312" w:eastAsia="仿宋_GB2312" w:cs="仿宋_GB2312"/>
          <w:b w:val="0"/>
          <w:bCs w:val="0"/>
          <w:color w:val="auto"/>
          <w:kern w:val="28"/>
          <w:sz w:val="20"/>
          <w:szCs w:val="20"/>
        </w:rPr>
        <w:t>内容的预验收工作以及正式验收工作。</w:t>
      </w:r>
    </w:p>
    <w:p w14:paraId="4A2CA201">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3、甲方有权要求乙方提供的产品所涉及的第三方权利进行免责。</w:t>
      </w:r>
    </w:p>
    <w:p w14:paraId="41737873">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4、甲方有义务保证按合同所规定的内容及时间支付乙方相关费用。</w:t>
      </w:r>
    </w:p>
    <w:p w14:paraId="0C69B848">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28"/>
          <w:sz w:val="20"/>
          <w:szCs w:val="20"/>
        </w:rPr>
        <w:t>5、甲方</w:t>
      </w:r>
      <w:r>
        <w:rPr>
          <w:rFonts w:hint="eastAsia" w:ascii="仿宋_GB2312" w:hAnsi="仿宋_GB2312" w:eastAsia="仿宋_GB2312" w:cs="仿宋_GB2312"/>
          <w:color w:val="auto"/>
          <w:sz w:val="20"/>
          <w:szCs w:val="20"/>
        </w:rPr>
        <w:t>项目负责人为</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w:t>
      </w:r>
    </w:p>
    <w:p w14:paraId="1A922734">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（二）乙方的权利与义务</w:t>
      </w:r>
    </w:p>
    <w:p w14:paraId="35E867D0">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1、乙方应按本合同的规定完成系统升级改造，并保证系统正常运行。</w:t>
      </w:r>
    </w:p>
    <w:p w14:paraId="5287D164">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2</w:t>
      </w:r>
      <w:r>
        <w:rPr>
          <w:rFonts w:hint="eastAsia" w:ascii="仿宋_GB2312" w:hAnsi="仿宋_GB2312" w:eastAsia="仿宋_GB2312" w:cs="仿宋_GB2312"/>
          <w:color w:val="auto"/>
          <w:sz w:val="20"/>
          <w:szCs w:val="20"/>
        </w:rPr>
        <w:t>、乙方有义务配合甲方参与项目的验收工作，并确保项目内容符合质量标准。</w:t>
      </w:r>
    </w:p>
    <w:p w14:paraId="58368982">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28"/>
          <w:sz w:val="20"/>
          <w:szCs w:val="20"/>
          <w:lang w:val="en-US" w:eastAsia="zh-CN"/>
        </w:rPr>
        <w:t>3</w:t>
      </w:r>
      <w:r>
        <w:rPr>
          <w:rFonts w:hint="eastAsia" w:ascii="仿宋_GB2312" w:hAnsi="仿宋_GB2312" w:eastAsia="仿宋_GB2312" w:cs="仿宋_GB2312"/>
          <w:color w:val="auto"/>
          <w:kern w:val="28"/>
          <w:sz w:val="20"/>
          <w:szCs w:val="20"/>
        </w:rPr>
        <w:t>、乙方</w:t>
      </w:r>
      <w:r>
        <w:rPr>
          <w:rFonts w:hint="eastAsia" w:ascii="仿宋_GB2312" w:hAnsi="仿宋_GB2312" w:eastAsia="仿宋_GB2312" w:cs="仿宋_GB2312"/>
          <w:color w:val="auto"/>
          <w:sz w:val="20"/>
          <w:szCs w:val="20"/>
        </w:rPr>
        <w:t>项目负责人为</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w:t>
      </w:r>
    </w:p>
    <w:p w14:paraId="6F474C2E">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4</w:t>
      </w:r>
      <w:r>
        <w:rPr>
          <w:rFonts w:hint="eastAsia" w:ascii="仿宋_GB2312" w:hAnsi="仿宋_GB2312" w:eastAsia="仿宋_GB2312" w:cs="仿宋_GB2312"/>
          <w:color w:val="auto"/>
          <w:sz w:val="20"/>
          <w:szCs w:val="20"/>
        </w:rPr>
        <w:t>、在系统验收时，向</w:t>
      </w:r>
      <w:r>
        <w:rPr>
          <w:rFonts w:hint="eastAsia" w:ascii="仿宋_GB2312" w:hAnsi="仿宋_GB2312" w:eastAsia="仿宋_GB2312" w:cs="仿宋_GB2312"/>
          <w:color w:val="auto"/>
          <w:sz w:val="20"/>
          <w:szCs w:val="20"/>
          <w:lang w:val="en-US" w:eastAsia="zh-CN"/>
        </w:rPr>
        <w:t>甲方</w:t>
      </w:r>
      <w:r>
        <w:rPr>
          <w:rFonts w:hint="eastAsia" w:ascii="仿宋_GB2312" w:hAnsi="仿宋_GB2312" w:eastAsia="仿宋_GB2312" w:cs="仿宋_GB2312"/>
          <w:color w:val="auto"/>
          <w:sz w:val="20"/>
          <w:szCs w:val="20"/>
        </w:rPr>
        <w:t>提供相关技术文件。</w:t>
      </w:r>
    </w:p>
    <w:p w14:paraId="2B4D6E66">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5</w:t>
      </w:r>
      <w:r>
        <w:rPr>
          <w:rFonts w:hint="eastAsia" w:ascii="仿宋_GB2312" w:hAnsi="仿宋_GB2312" w:eastAsia="仿宋_GB2312" w:cs="仿宋_GB2312"/>
          <w:color w:val="auto"/>
          <w:sz w:val="20"/>
          <w:szCs w:val="20"/>
        </w:rPr>
        <w:t>、培训甲方或甲方指定的管理人员。</w:t>
      </w:r>
    </w:p>
    <w:p w14:paraId="73FFF2DB">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6</w:t>
      </w:r>
      <w:r>
        <w:rPr>
          <w:rFonts w:hint="eastAsia" w:ascii="仿宋_GB2312" w:hAnsi="仿宋_GB2312" w:eastAsia="仿宋_GB2312" w:cs="仿宋_GB2312"/>
          <w:color w:val="auto"/>
          <w:sz w:val="20"/>
          <w:szCs w:val="20"/>
        </w:rPr>
        <w:t>、按本合</w:t>
      </w:r>
      <w:r>
        <w:rPr>
          <w:rFonts w:hint="eastAsia" w:ascii="仿宋_GB2312" w:hAnsi="仿宋_GB2312" w:eastAsia="仿宋_GB2312" w:cs="仿宋_GB2312"/>
          <w:color w:val="auto"/>
          <w:sz w:val="20"/>
          <w:szCs w:val="20"/>
          <w:lang w:val="en-US" w:eastAsia="zh-CN"/>
        </w:rPr>
        <w:t>服务期限</w:t>
      </w:r>
      <w:r>
        <w:rPr>
          <w:rFonts w:hint="eastAsia" w:ascii="仿宋_GB2312" w:hAnsi="仿宋_GB2312" w:eastAsia="仿宋_GB2312" w:cs="仿宋_GB2312"/>
          <w:color w:val="auto"/>
          <w:sz w:val="20"/>
          <w:szCs w:val="20"/>
        </w:rPr>
        <w:t>要求完成系统搭建、软件开发、调试</w:t>
      </w:r>
      <w:r>
        <w:rPr>
          <w:rFonts w:hint="eastAsia" w:ascii="仿宋_GB2312" w:hAnsi="仿宋_GB2312" w:eastAsia="仿宋_GB2312" w:cs="仿宋_GB2312"/>
          <w:color w:val="auto"/>
          <w:sz w:val="20"/>
          <w:szCs w:val="20"/>
          <w:lang w:val="en-US" w:eastAsia="zh-CN"/>
        </w:rPr>
        <w:t>及平台运行维护等</w:t>
      </w:r>
      <w:r>
        <w:rPr>
          <w:rFonts w:hint="eastAsia" w:ascii="仿宋_GB2312" w:hAnsi="仿宋_GB2312" w:eastAsia="仿宋_GB2312" w:cs="仿宋_GB2312"/>
          <w:color w:val="auto"/>
          <w:sz w:val="20"/>
          <w:szCs w:val="20"/>
        </w:rPr>
        <w:t>。</w:t>
      </w:r>
    </w:p>
    <w:p w14:paraId="5C644A38">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六、质量要求、技术标准</w:t>
      </w:r>
    </w:p>
    <w:p w14:paraId="51D4A7AF">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严格执行国家及行业标准规范。</w:t>
      </w:r>
    </w:p>
    <w:p w14:paraId="2F691C0C">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lang w:val="en-US" w:eastAsia="zh-CN"/>
        </w:rPr>
      </w:pPr>
      <w:r>
        <w:rPr>
          <w:rFonts w:hint="eastAsia" w:ascii="仿宋_GB2312" w:hAnsi="仿宋_GB2312" w:eastAsia="仿宋_GB2312" w:cs="仿宋_GB2312"/>
          <w:b/>
          <w:bCs/>
          <w:color w:val="auto"/>
          <w:sz w:val="20"/>
          <w:szCs w:val="20"/>
        </w:rPr>
        <w:t>七、</w:t>
      </w:r>
      <w:r>
        <w:rPr>
          <w:rFonts w:hint="eastAsia" w:ascii="仿宋_GB2312" w:hAnsi="仿宋_GB2312" w:eastAsia="仿宋_GB2312" w:cs="仿宋_GB2312"/>
          <w:b/>
          <w:bCs/>
          <w:color w:val="auto"/>
          <w:sz w:val="20"/>
          <w:szCs w:val="20"/>
          <w:lang w:val="en-US" w:eastAsia="zh-CN"/>
        </w:rPr>
        <w:t>服务期限</w:t>
      </w:r>
    </w:p>
    <w:p w14:paraId="650EBBB4">
      <w:pPr>
        <w:keepLines w:val="0"/>
        <w:pageBreakBefore w:val="0"/>
        <w:shd w:val="clear"/>
        <w:kinsoku/>
        <w:wordWrap/>
        <w:overflowPunct/>
        <w:topLinePunct w:val="0"/>
        <w:autoSpaceDE/>
        <w:autoSpaceDN/>
        <w:bidi w:val="0"/>
        <w:adjustRightInd/>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自合同签订之日起一年。</w:t>
      </w:r>
    </w:p>
    <w:p w14:paraId="3097D142">
      <w:pPr>
        <w:keepLines w:val="0"/>
        <w:pageBreakBefore w:val="0"/>
        <w:shd w:val="clear"/>
        <w:kinsoku/>
        <w:wordWrap/>
        <w:overflowPunct/>
        <w:topLinePunct w:val="0"/>
        <w:autoSpaceDE/>
        <w:autoSpaceDN/>
        <w:bidi w:val="0"/>
        <w:adjustRightInd/>
        <w:spacing w:line="240" w:lineRule="auto"/>
        <w:ind w:left="0"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八、服务地点</w:t>
      </w:r>
    </w:p>
    <w:p w14:paraId="0D82A41B">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0" w:firstLineChars="200"/>
        <w:textAlignment w:val="baseline"/>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锦业路一号都市之门A座。</w:t>
      </w:r>
    </w:p>
    <w:p w14:paraId="0C2BB7D3">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九、项目验收</w:t>
      </w:r>
    </w:p>
    <w:p w14:paraId="52274D25">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0" w:firstLineChars="200"/>
        <w:textAlignment w:val="baseline"/>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经甲方考评，考评合格后结算合同价款。</w:t>
      </w:r>
    </w:p>
    <w:p w14:paraId="090B2C16">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十、保密条款</w:t>
      </w:r>
    </w:p>
    <w:p w14:paraId="3A4DF421">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双方承诺，除非法律另有规定或双方一致同意，任何一方不得将本协议的内容向第三方透露，否则，应向对方承担相应的违约责任。</w:t>
      </w:r>
    </w:p>
    <w:p w14:paraId="763E7716">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63B5FCD6">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F5B6684">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十一、违约责任</w:t>
      </w:r>
    </w:p>
    <w:p w14:paraId="6F4CCE2A">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1、如甲方未能按照合同约定支付款项，每延迟一天应承担当期应付款2‰的违约金，违约金累计不超过当期应付款10%。若违约金累计已达上限，而甲方仍未按合同约定支付款项的，乙方有权立即终止本合同，并停止系统运行，由此给乙方带来的直接损失及间接损失应由甲方进行赔付。</w:t>
      </w:r>
    </w:p>
    <w:p w14:paraId="058CC45F">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2、乙方应按照合同规定的期限完成</w:t>
      </w:r>
      <w:r>
        <w:rPr>
          <w:rFonts w:hint="eastAsia" w:ascii="仿宋_GB2312" w:hAnsi="仿宋_GB2312" w:eastAsia="仿宋_GB2312" w:cs="仿宋_GB2312"/>
          <w:color w:val="auto"/>
          <w:kern w:val="28"/>
          <w:sz w:val="20"/>
          <w:szCs w:val="20"/>
          <w:lang w:val="en-US" w:eastAsia="zh-CN"/>
        </w:rPr>
        <w:t>服务内容</w:t>
      </w:r>
      <w:r>
        <w:rPr>
          <w:rFonts w:hint="eastAsia" w:ascii="仿宋_GB2312" w:hAnsi="仿宋_GB2312" w:eastAsia="仿宋_GB2312" w:cs="仿宋_GB2312"/>
          <w:color w:val="auto"/>
          <w:kern w:val="28"/>
          <w:sz w:val="20"/>
          <w:szCs w:val="20"/>
        </w:rPr>
        <w:t>，每延迟一天应承担当期应付款2‰的违约金，违约金累计不超过当期应付款10%。若违约金累计已达上限，乙方仍未履行，甲方有权解除合同。</w:t>
      </w:r>
    </w:p>
    <w:p w14:paraId="586DC438">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28"/>
          <w:sz w:val="20"/>
          <w:szCs w:val="20"/>
        </w:rPr>
        <w:t>3</w:t>
      </w:r>
      <w:r>
        <w:rPr>
          <w:rFonts w:hint="eastAsia" w:ascii="仿宋_GB2312" w:hAnsi="仿宋_GB2312" w:eastAsia="仿宋_GB2312" w:cs="仿宋_GB2312"/>
          <w:color w:val="auto"/>
          <w:sz w:val="20"/>
          <w:szCs w:val="20"/>
        </w:rPr>
        <w:t xml:space="preserve">、甲、乙双方中任何一方违反本合同第十条保密条款的，应当向相对方支付合同总价款 </w:t>
      </w:r>
      <w:r>
        <w:rPr>
          <w:rFonts w:hint="eastAsia" w:ascii="仿宋_GB2312" w:hAnsi="仿宋_GB2312" w:eastAsia="仿宋_GB2312" w:cs="仿宋_GB2312"/>
          <w:color w:val="auto"/>
          <w:sz w:val="20"/>
          <w:szCs w:val="20"/>
          <w:u w:val="single"/>
        </w:rPr>
        <w:t>1 %</w:t>
      </w:r>
      <w:r>
        <w:rPr>
          <w:rFonts w:hint="eastAsia" w:ascii="仿宋_GB2312" w:hAnsi="仿宋_GB2312" w:eastAsia="仿宋_GB2312" w:cs="仿宋_GB2312"/>
          <w:color w:val="auto"/>
          <w:sz w:val="20"/>
          <w:szCs w:val="20"/>
        </w:rPr>
        <w:t>的违约金。</w:t>
      </w:r>
    </w:p>
    <w:p w14:paraId="588EC4A8">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Pr>
          <w:rFonts w:hint="eastAsia" w:ascii="仿宋_GB2312" w:hAnsi="仿宋_GB2312" w:eastAsia="仿宋_GB2312" w:cs="仿宋_GB2312"/>
          <w:color w:val="auto"/>
          <w:sz w:val="20"/>
          <w:szCs w:val="20"/>
          <w:u w:val="single"/>
        </w:rPr>
        <w:t>责</w:t>
      </w:r>
      <w:r>
        <w:rPr>
          <w:rFonts w:hint="eastAsia" w:ascii="仿宋_GB2312" w:hAnsi="仿宋_GB2312" w:eastAsia="仿宋_GB2312" w:cs="仿宋_GB2312"/>
          <w:color w:val="auto"/>
          <w:sz w:val="20"/>
          <w:szCs w:val="20"/>
        </w:rPr>
        <w:t xml:space="preserve">任，乙方还应向甲方承担合同总价款 </w:t>
      </w:r>
      <w:r>
        <w:rPr>
          <w:rFonts w:hint="eastAsia" w:ascii="仿宋_GB2312" w:hAnsi="仿宋_GB2312" w:eastAsia="仿宋_GB2312" w:cs="仿宋_GB2312"/>
          <w:color w:val="auto"/>
          <w:sz w:val="20"/>
          <w:szCs w:val="20"/>
          <w:u w:val="single"/>
        </w:rPr>
        <w:t>1 %</w:t>
      </w:r>
      <w:r>
        <w:rPr>
          <w:rFonts w:hint="eastAsia" w:ascii="仿宋_GB2312" w:hAnsi="仿宋_GB2312" w:eastAsia="仿宋_GB2312" w:cs="仿宋_GB2312"/>
          <w:color w:val="auto"/>
          <w:sz w:val="20"/>
          <w:szCs w:val="20"/>
        </w:rPr>
        <w:t>的违约金，违约金不足以弥补给甲方造成的损失的，乙方还应当承担补足责任。</w:t>
      </w:r>
    </w:p>
    <w:p w14:paraId="26F73250">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5、合同成立后，在任何一方无实质违约的情况下，未经相对方书面允许，任何一方不得单方撤销、中止、终止履行合同。</w:t>
      </w:r>
    </w:p>
    <w:p w14:paraId="312F409A">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十二、争议解决</w:t>
      </w:r>
    </w:p>
    <w:p w14:paraId="7D345D98">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合同各方应本着诚信的态度及共同合作的精神，通过协商及谈判来努力解决由本合同而产生的或与本合同有关（包括本合同项下某一特定货物买卖合同）的任何争议及不同意见。协商、谈判不能解决的，任何一方</w:t>
      </w:r>
      <w:r>
        <w:rPr>
          <w:rFonts w:hint="eastAsia" w:ascii="仿宋_GB2312" w:hAnsi="仿宋_GB2312" w:eastAsia="仿宋_GB2312" w:cs="仿宋_GB2312"/>
          <w:color w:val="auto"/>
          <w:sz w:val="20"/>
          <w:szCs w:val="20"/>
        </w:rPr>
        <w:t>均有权向甲方所在地人民法院提起诉讼。</w:t>
      </w:r>
    </w:p>
    <w:p w14:paraId="4134C398">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十三、协议期限</w:t>
      </w:r>
    </w:p>
    <w:p w14:paraId="2DC0CED2">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本协议从双方法定代表人或授权代表签字、盖章之日起生效。</w:t>
      </w:r>
    </w:p>
    <w:p w14:paraId="05C9D48C">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十四、不可抗力</w:t>
      </w:r>
    </w:p>
    <w:p w14:paraId="31A95BB7">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1、本合同项下的“不可抗力”是指不能预见，不能避免且不能克服的客观情况，使得本合同一方当事人无法履行合同义务，如战争、严重火灾、水灾、风灾和地震以及其他经三方同意属于不可抗力的事故。</w:t>
      </w:r>
    </w:p>
    <w:p w14:paraId="61F3E606">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47C6C220">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3、如不可抗力时间延续90天以上的，各方通过协商达成在合理的时间内继续履行合同，或部分履行合同，或终止合同的履行。</w:t>
      </w:r>
    </w:p>
    <w:p w14:paraId="4D4FD3C9">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4、一方迟延履行后发生不可抗力的，不能免除责任。</w:t>
      </w:r>
    </w:p>
    <w:p w14:paraId="19CC4523">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十五、通知和合同修改</w:t>
      </w:r>
    </w:p>
    <w:p w14:paraId="3624582B">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本合同一方给另一方的通知，都应以书面的形式（信函、传真）发送至对方，对本合同条款进行任何改动，均须由甲乙双方签署书面合同修改或经济签证，方为有效。</w:t>
      </w:r>
    </w:p>
    <w:p w14:paraId="6E608F23">
      <w:pPr>
        <w:keepLines w:val="0"/>
        <w:pageBreakBefore w:val="0"/>
        <w:shd w:val="clear" w:color="auto"/>
        <w:tabs>
          <w:tab w:val="left" w:pos="425"/>
        </w:tabs>
        <w:kinsoku/>
        <w:wordWrap/>
        <w:overflowPunct/>
        <w:topLinePunct w:val="0"/>
        <w:autoSpaceDE/>
        <w:autoSpaceDN/>
        <w:bidi w:val="0"/>
        <w:adjustRightInd/>
        <w:snapToGrid w:val="0"/>
        <w:spacing w:line="240" w:lineRule="auto"/>
        <w:ind w:left="0" w:firstLine="402" w:firstLineChars="200"/>
        <w:textAlignment w:val="baseline"/>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十六、其他规定</w:t>
      </w:r>
    </w:p>
    <w:p w14:paraId="5381355C">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本协议的附件为本协议不可分割的部分，与本协议正文具有同等的法律效力。协议附件与本协议约定不一致的，以本协议的约定为准，除非双方一致同意并以书面形式表示以协议附件为准。</w:t>
      </w:r>
    </w:p>
    <w:p w14:paraId="041BD0B0">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p>
    <w:p w14:paraId="737FD62D">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本合同甲、乙双方均同意以上条款内容。</w:t>
      </w:r>
    </w:p>
    <w:p w14:paraId="639A5AFA">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本合同正本二份，副本捌份，具有同等效力。自双方授权代表签字、盖章之日起生效。</w:t>
      </w:r>
    </w:p>
    <w:p w14:paraId="6E8A202B">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本合同的订立、履行、变更、终止、解释等均适用中华人民共和国法律。</w:t>
      </w:r>
    </w:p>
    <w:p w14:paraId="137BC4CF">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r>
        <w:rPr>
          <w:rFonts w:hint="eastAsia" w:ascii="仿宋_GB2312" w:hAnsi="仿宋_GB2312" w:eastAsia="仿宋_GB2312" w:cs="仿宋_GB2312"/>
          <w:color w:val="auto"/>
          <w:kern w:val="28"/>
          <w:sz w:val="20"/>
          <w:szCs w:val="20"/>
        </w:rPr>
        <w:t>本合同未尽事宜由双方共同协商，另行订立补充协议，补充协议与本协议具有同样的法律效力。如果本合同之附件与本合同规定不符, 以本合同规定为准。</w:t>
      </w:r>
    </w:p>
    <w:p w14:paraId="55664011">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kern w:val="28"/>
          <w:sz w:val="20"/>
          <w:szCs w:val="20"/>
        </w:rPr>
      </w:pPr>
    </w:p>
    <w:p w14:paraId="16F1903A">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（以下无正文）</w:t>
      </w:r>
    </w:p>
    <w:p w14:paraId="1CEAD873">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甲方： </w:t>
      </w:r>
    </w:p>
    <w:p w14:paraId="20A99967">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法人代表或授权代表：</w:t>
      </w:r>
    </w:p>
    <w:p w14:paraId="7540F097">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签署日期：   年  月  日</w:t>
      </w:r>
    </w:p>
    <w:p w14:paraId="10F601FF">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乙方：</w:t>
      </w:r>
    </w:p>
    <w:p w14:paraId="69CC6627">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法人代表或授权代表：</w:t>
      </w:r>
    </w:p>
    <w:p w14:paraId="2AD55270">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签署日期：   年   月  日</w:t>
      </w:r>
    </w:p>
    <w:p w14:paraId="79455891">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丙</w:t>
      </w:r>
      <w:r>
        <w:rPr>
          <w:rFonts w:hint="eastAsia" w:ascii="仿宋_GB2312" w:hAnsi="仿宋_GB2312" w:eastAsia="仿宋_GB2312" w:cs="仿宋_GB2312"/>
          <w:color w:val="auto"/>
          <w:sz w:val="20"/>
          <w:szCs w:val="20"/>
        </w:rPr>
        <w:t>方：</w:t>
      </w:r>
    </w:p>
    <w:p w14:paraId="662A6D5D">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法人代表或授权代表：</w:t>
      </w:r>
    </w:p>
    <w:p w14:paraId="5F28C7D1">
      <w:pPr>
        <w:keepLines w:val="0"/>
        <w:pageBreakBefore w:val="0"/>
        <w:shd w:val="clear" w:color="auto"/>
        <w:kinsoku/>
        <w:wordWrap/>
        <w:overflowPunct/>
        <w:topLinePunct w:val="0"/>
        <w:autoSpaceDE/>
        <w:autoSpaceDN/>
        <w:bidi w:val="0"/>
        <w:adjustRightInd/>
        <w:snapToGrid w:val="0"/>
        <w:spacing w:line="240" w:lineRule="auto"/>
        <w:ind w:left="0"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签署日期：   年   月  日</w:t>
      </w:r>
    </w:p>
    <w:p w14:paraId="71D91E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color w:val="auto"/>
          <w:sz w:val="20"/>
          <w:szCs w:val="20"/>
          <w:lang w:val="en-US" w:eastAsia="zh-Hans"/>
        </w:rPr>
      </w:pPr>
    </w:p>
    <w:p w14:paraId="26AC814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7CE3A9B"/>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0C5C96"/>
    <w:rsid w:val="44C01FE2"/>
    <w:rsid w:val="485E59E4"/>
    <w:rsid w:val="4A3C512E"/>
    <w:rsid w:val="4BE156B5"/>
    <w:rsid w:val="4DC54B0A"/>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4">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5">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6">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afterLines="0" w:afterAutospacing="0"/>
    </w:pPr>
  </w:style>
  <w:style w:type="paragraph" w:styleId="7">
    <w:name w:val="Normal Indent"/>
    <w:basedOn w:val="1"/>
    <w:autoRedefine/>
    <w:qFormat/>
    <w:uiPriority w:val="0"/>
    <w:pPr>
      <w:ind w:firstLine="420" w:firstLineChars="200"/>
    </w:pPr>
  </w:style>
  <w:style w:type="character" w:customStyle="1" w:styleId="10">
    <w:name w:val="标题 2 Char"/>
    <w:link w:val="4"/>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3"/>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5"/>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5115</Words>
  <Characters>5391</Characters>
  <Lines>0</Lines>
  <Paragraphs>0</Paragraphs>
  <TotalTime>0</TotalTime>
  <ScaleCrop>false</ScaleCrop>
  <LinksUpToDate>false</LinksUpToDate>
  <CharactersWithSpaces>6035</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2026-08-24T03:31:45Z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