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7C384">
      <w:pPr>
        <w:jc w:val="center"/>
        <w:rPr>
          <w:rFonts w:hint="eastAsia" w:ascii="宋体" w:hAnsi="宋体" w:eastAsia="宋体" w:cs="宋体"/>
          <w:b/>
          <w:bCs/>
          <w:color w:val="auto"/>
          <w:sz w:val="44"/>
          <w:szCs w:val="44"/>
          <w:highlight w:val="none"/>
          <w:lang w:eastAsia="zh-CN"/>
        </w:rPr>
      </w:pPr>
    </w:p>
    <w:p w14:paraId="3D9F21BB">
      <w:pPr>
        <w:jc w:val="center"/>
        <w:rPr>
          <w:rFonts w:hint="eastAsia" w:ascii="宋体" w:hAnsi="宋体" w:eastAsia="宋体" w:cs="宋体"/>
          <w:b/>
          <w:bCs/>
          <w:color w:val="auto"/>
          <w:sz w:val="44"/>
          <w:szCs w:val="44"/>
          <w:highlight w:val="none"/>
          <w:lang w:eastAsia="zh-CN"/>
        </w:rPr>
      </w:pPr>
    </w:p>
    <w:p w14:paraId="168A48C8">
      <w:pPr>
        <w:jc w:val="center"/>
        <w:rPr>
          <w:rFonts w:hint="eastAsia" w:ascii="宋体" w:hAnsi="宋体" w:eastAsia="宋体" w:cs="宋体"/>
          <w:b/>
          <w:bCs/>
          <w:color w:val="auto"/>
          <w:sz w:val="44"/>
          <w:szCs w:val="44"/>
          <w:highlight w:val="none"/>
          <w:lang w:eastAsia="zh-CN"/>
        </w:rPr>
      </w:pPr>
    </w:p>
    <w:p w14:paraId="6CBE2325">
      <w:pPr>
        <w:jc w:val="center"/>
        <w:rPr>
          <w:rFonts w:hint="eastAsia" w:ascii="宋体" w:hAnsi="宋体" w:eastAsia="宋体" w:cs="宋体"/>
          <w:b/>
          <w:bCs/>
          <w:color w:val="auto"/>
          <w:sz w:val="44"/>
          <w:szCs w:val="44"/>
          <w:highlight w:val="none"/>
        </w:rPr>
      </w:pPr>
      <w:bookmarkStart w:id="0" w:name="_GoBack"/>
      <w:bookmarkEnd w:id="0"/>
      <w:r>
        <w:rPr>
          <w:rFonts w:hint="eastAsia" w:ascii="宋体" w:hAnsi="宋体" w:eastAsia="宋体" w:cs="宋体"/>
          <w:b/>
          <w:bCs/>
          <w:color w:val="auto"/>
          <w:sz w:val="44"/>
          <w:szCs w:val="44"/>
          <w:highlight w:val="none"/>
          <w:lang w:eastAsia="zh-CN"/>
        </w:rPr>
        <w:t>西安市黑河水源地环境保护管理总站山区保护站采暖项目</w:t>
      </w:r>
      <w:r>
        <w:rPr>
          <w:rFonts w:hint="eastAsia" w:ascii="宋体" w:hAnsi="宋体" w:eastAsia="宋体" w:cs="宋体"/>
          <w:b/>
          <w:bCs/>
          <w:color w:val="auto"/>
          <w:sz w:val="44"/>
          <w:szCs w:val="44"/>
          <w:highlight w:val="none"/>
        </w:rPr>
        <w:t>合同</w:t>
      </w:r>
    </w:p>
    <w:p w14:paraId="087A8164">
      <w:pPr>
        <w:pStyle w:val="2"/>
        <w:rPr>
          <w:rFonts w:hint="eastAsia" w:ascii="宋体" w:hAnsi="宋体" w:eastAsia="宋体" w:cs="宋体"/>
          <w:color w:val="auto"/>
          <w:highlight w:val="none"/>
        </w:rPr>
      </w:pPr>
    </w:p>
    <w:p w14:paraId="305C0C8A">
      <w:pPr>
        <w:rPr>
          <w:rFonts w:hint="eastAsia" w:ascii="宋体" w:hAnsi="宋体" w:eastAsia="宋体" w:cs="宋体"/>
          <w:color w:val="auto"/>
          <w:highlight w:val="none"/>
        </w:rPr>
      </w:pPr>
    </w:p>
    <w:p w14:paraId="4FFE14ED">
      <w:pPr>
        <w:rPr>
          <w:rFonts w:hint="eastAsia" w:ascii="宋体" w:hAnsi="宋体" w:eastAsia="宋体" w:cs="宋体"/>
          <w:color w:val="auto"/>
          <w:highlight w:val="none"/>
        </w:rPr>
      </w:pPr>
    </w:p>
    <w:p w14:paraId="14631485">
      <w:pPr>
        <w:pStyle w:val="5"/>
        <w:ind w:firstLine="210"/>
        <w:rPr>
          <w:rFonts w:hint="eastAsia" w:ascii="宋体" w:hAnsi="宋体" w:eastAsia="宋体" w:cs="宋体"/>
          <w:color w:val="auto"/>
          <w:highlight w:val="none"/>
        </w:rPr>
      </w:pPr>
    </w:p>
    <w:p w14:paraId="507D539E">
      <w:pPr>
        <w:pStyle w:val="5"/>
        <w:ind w:firstLine="210"/>
        <w:rPr>
          <w:rFonts w:hint="eastAsia" w:ascii="宋体" w:hAnsi="宋体" w:eastAsia="宋体" w:cs="宋体"/>
          <w:color w:val="auto"/>
          <w:highlight w:val="none"/>
        </w:rPr>
      </w:pPr>
    </w:p>
    <w:p w14:paraId="20FA48F6">
      <w:pPr>
        <w:rPr>
          <w:rFonts w:hint="eastAsia" w:ascii="宋体" w:hAnsi="宋体" w:eastAsia="宋体" w:cs="宋体"/>
          <w:color w:val="auto"/>
          <w:highlight w:val="none"/>
        </w:rPr>
      </w:pPr>
    </w:p>
    <w:p w14:paraId="6FF37245">
      <w:pPr>
        <w:pStyle w:val="9"/>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（示范文本）</w:t>
      </w:r>
    </w:p>
    <w:p w14:paraId="3E223FCD">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4D21DB51">
      <w:pPr>
        <w:adjustRightInd w:val="0"/>
        <w:snapToGrid w:val="0"/>
        <w:spacing w:line="360" w:lineRule="auto"/>
        <w:ind w:firstLine="422" w:firstLineChars="200"/>
        <w:rPr>
          <w:rFonts w:hint="eastAsia" w:ascii="宋体" w:hAnsi="宋体" w:eastAsia="宋体" w:cs="宋体"/>
          <w:b/>
          <w:color w:val="auto"/>
          <w:highlight w:val="none"/>
        </w:rPr>
      </w:pPr>
    </w:p>
    <w:p w14:paraId="47BBD7D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u w:val="single"/>
        </w:rPr>
      </w:pPr>
      <w:r>
        <w:rPr>
          <w:rFonts w:hint="eastAsia" w:ascii="宋体" w:hAnsi="宋体" w:eastAsia="宋体" w:cs="宋体"/>
          <w:sz w:val="24"/>
          <w:szCs w:val="32"/>
        </w:rPr>
        <w:t>甲方：</w:t>
      </w:r>
      <w:r>
        <w:rPr>
          <w:rFonts w:hint="eastAsia" w:ascii="宋体" w:hAnsi="宋体" w:eastAsia="宋体" w:cs="宋体"/>
          <w:sz w:val="24"/>
          <w:szCs w:val="32"/>
          <w:u w:val="single"/>
        </w:rPr>
        <w:t xml:space="preserve">                 </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u w:val="single"/>
        </w:rPr>
        <w:t xml:space="preserve">   </w:t>
      </w:r>
    </w:p>
    <w:p w14:paraId="54B21B0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乙方：</w:t>
      </w:r>
      <w:r>
        <w:rPr>
          <w:rFonts w:hint="eastAsia" w:ascii="宋体" w:hAnsi="宋体" w:eastAsia="宋体" w:cs="宋体"/>
          <w:sz w:val="24"/>
          <w:szCs w:val="32"/>
          <w:u w:val="single"/>
        </w:rPr>
        <w:t xml:space="preserve">                 </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w:t>
      </w:r>
    </w:p>
    <w:p w14:paraId="7EFEBDBB">
      <w:pPr>
        <w:pStyle w:val="6"/>
        <w:keepNext w:val="0"/>
        <w:keepLines w:val="0"/>
        <w:widowControl/>
        <w:suppressLineNumbers w:val="0"/>
        <w:spacing w:before="0" w:beforeAutospacing="0" w:after="0" w:afterAutospacing="0"/>
        <w:ind w:left="0" w:right="0" w:firstLine="480" w:firstLineChars="200"/>
        <w:rPr>
          <w:rFonts w:hint="eastAsia" w:ascii="宋体" w:hAnsi="宋体" w:eastAsia="宋体" w:cs="宋体"/>
          <w:sz w:val="24"/>
          <w:szCs w:val="32"/>
        </w:rPr>
      </w:pPr>
      <w:r>
        <w:t>山区保护站采暖项目</w:t>
      </w:r>
      <w:r>
        <w:rPr>
          <w:rFonts w:hint="eastAsia" w:ascii="宋体" w:hAnsi="宋体" w:eastAsia="宋体" w:cs="宋体"/>
          <w:sz w:val="24"/>
          <w:szCs w:val="32"/>
        </w:rPr>
        <w:t>(项目编号：SXHT2026-ZC-CS1010)，本项目的</w:t>
      </w:r>
      <w:r>
        <w:rPr>
          <w:rFonts w:hint="eastAsia" w:ascii="宋体" w:hAnsi="宋体" w:eastAsia="宋体" w:cs="宋体"/>
          <w:sz w:val="24"/>
          <w:szCs w:val="32"/>
          <w:lang w:val="en-US" w:eastAsia="zh-CN"/>
        </w:rPr>
        <w:t>采购人</w:t>
      </w:r>
      <w:r>
        <w:rPr>
          <w:rFonts w:hint="eastAsia" w:ascii="宋体" w:hAnsi="宋体" w:eastAsia="宋体" w:cs="宋体"/>
          <w:sz w:val="24"/>
          <w:szCs w:val="32"/>
          <w:u w:val="single"/>
        </w:rPr>
        <w:t xml:space="preserve">    </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u w:val="single"/>
        </w:rPr>
        <w:t xml:space="preserve">  </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(以下简称“甲方”)确定成交供应商</w:t>
      </w:r>
      <w:r>
        <w:rPr>
          <w:rFonts w:hint="eastAsia" w:ascii="宋体" w:hAnsi="宋体" w:eastAsia="宋体" w:cs="宋体"/>
          <w:sz w:val="24"/>
          <w:szCs w:val="32"/>
          <w:u w:val="single"/>
        </w:rPr>
        <w:t xml:space="preserve">    </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(以下简称“乙方”) </w:t>
      </w:r>
    </w:p>
    <w:p w14:paraId="0ACDCF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依据《中华人民共和国民法典》和《中华人民共和国政府采购法》，经双方协商按下述条款和条件签署本合同。</w:t>
      </w:r>
    </w:p>
    <w:p w14:paraId="1E85183D">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sz w:val="24"/>
          <w:szCs w:val="32"/>
        </w:rPr>
      </w:pPr>
      <w:r>
        <w:rPr>
          <w:rFonts w:hint="eastAsia"/>
          <w:b/>
          <w:bCs/>
          <w:sz w:val="24"/>
          <w:szCs w:val="32"/>
        </w:rPr>
        <w:t>一、交货条件</w:t>
      </w:r>
    </w:p>
    <w:p w14:paraId="0C006A5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(一)交货地点：</w:t>
      </w:r>
      <w:r>
        <w:rPr>
          <w:rFonts w:hint="eastAsia" w:ascii="宋体" w:hAnsi="宋体" w:eastAsia="宋体" w:cs="宋体"/>
          <w:sz w:val="24"/>
          <w:szCs w:val="32"/>
          <w:u w:val="single"/>
        </w:rPr>
        <w:t xml:space="preserve">                 </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u w:val="single"/>
        </w:rPr>
        <w:t xml:space="preserve">   </w:t>
      </w:r>
      <w:r>
        <w:rPr>
          <w:rFonts w:hint="eastAsia" w:ascii="宋体" w:hAnsi="宋体" w:eastAsia="宋体" w:cs="宋体"/>
          <w:sz w:val="24"/>
          <w:szCs w:val="32"/>
          <w:lang w:val="en-US" w:eastAsia="zh-CN"/>
        </w:rPr>
        <w:t>。</w:t>
      </w:r>
    </w:p>
    <w:p w14:paraId="79DD3D1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w:t>
      </w:r>
      <w:r>
        <w:rPr>
          <w:rFonts w:hint="eastAsia" w:ascii="宋体" w:hAnsi="宋体" w:eastAsia="宋体" w:cs="宋体"/>
          <w:sz w:val="24"/>
          <w:szCs w:val="32"/>
          <w:lang w:val="en-US" w:eastAsia="zh-CN"/>
        </w:rPr>
        <w:t>二</w:t>
      </w:r>
      <w:r>
        <w:rPr>
          <w:rFonts w:hint="eastAsia" w:ascii="宋体" w:hAnsi="宋体" w:eastAsia="宋体" w:cs="宋体"/>
          <w:sz w:val="24"/>
          <w:szCs w:val="32"/>
        </w:rPr>
        <w:t>)</w:t>
      </w:r>
      <w:r>
        <w:rPr>
          <w:rFonts w:hint="eastAsia" w:ascii="宋体" w:hAnsi="宋体" w:eastAsia="宋体" w:cs="宋体"/>
          <w:sz w:val="24"/>
          <w:szCs w:val="32"/>
          <w:lang w:val="en-US" w:eastAsia="zh-CN"/>
        </w:rPr>
        <w:t>服务期</w:t>
      </w:r>
      <w:r>
        <w:rPr>
          <w:rFonts w:hint="eastAsia" w:ascii="宋体" w:hAnsi="宋体" w:eastAsia="宋体" w:cs="宋体"/>
          <w:sz w:val="24"/>
          <w:szCs w:val="32"/>
        </w:rPr>
        <w:t>：</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lang w:val="en-US" w:eastAsia="zh-CN"/>
        </w:rPr>
        <w:t>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lang w:val="en-US" w:eastAsia="zh-CN"/>
        </w:rPr>
        <w:t>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lang w:val="en-US" w:eastAsia="zh-CN"/>
        </w:rPr>
        <w:t>月</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lang w:val="en-US" w:eastAsia="zh-CN"/>
        </w:rPr>
        <w:t>日至</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lang w:val="en-US" w:eastAsia="zh-CN"/>
        </w:rPr>
        <w:t>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lang w:val="en-US" w:eastAsia="zh-CN"/>
        </w:rPr>
        <w:t>月</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lang w:val="en-US" w:eastAsia="zh-CN"/>
        </w:rPr>
        <w:t>日）</w:t>
      </w:r>
    </w:p>
    <w:p w14:paraId="2ED64B98">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Times New Roman" w:hAnsi="Times New Roman" w:eastAsia="宋体" w:cs="Times New Roman"/>
          <w:b/>
          <w:bCs/>
          <w:sz w:val="24"/>
          <w:szCs w:val="32"/>
        </w:rPr>
      </w:pPr>
      <w:r>
        <w:rPr>
          <w:rFonts w:hint="eastAsia" w:ascii="Times New Roman" w:hAnsi="Times New Roman" w:eastAsia="宋体" w:cs="Times New Roman"/>
          <w:b/>
          <w:bCs/>
          <w:sz w:val="24"/>
          <w:szCs w:val="32"/>
        </w:rPr>
        <w:t>二、合同价款</w:t>
      </w:r>
    </w:p>
    <w:p w14:paraId="4BC599A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1.本合同项下总价款为人民币</w:t>
      </w:r>
      <w:r>
        <w:rPr>
          <w:rFonts w:hint="eastAsia" w:ascii="宋体" w:hAnsi="宋体" w:eastAsia="宋体" w:cs="宋体"/>
          <w:sz w:val="24"/>
          <w:szCs w:val="32"/>
          <w:u w:val="single"/>
        </w:rPr>
        <w:t xml:space="preserve">  </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u w:val="single"/>
        </w:rPr>
        <w:t xml:space="preserve"> </w:t>
      </w:r>
      <w:r>
        <w:rPr>
          <w:rFonts w:hint="eastAsia" w:ascii="宋体" w:hAnsi="宋体" w:eastAsia="宋体" w:cs="宋体"/>
          <w:sz w:val="24"/>
          <w:szCs w:val="32"/>
        </w:rPr>
        <w:t>元(小写，精确到小数点后两位)，即</w:t>
      </w:r>
      <w:r>
        <w:rPr>
          <w:rFonts w:hint="eastAsia" w:ascii="宋体" w:hAnsi="宋体" w:eastAsia="宋体" w:cs="宋体"/>
          <w:sz w:val="24"/>
          <w:szCs w:val="32"/>
          <w:u w:val="single"/>
        </w:rPr>
        <w:t xml:space="preserve">  </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u w:val="single"/>
        </w:rPr>
        <w:t xml:space="preserve">  </w:t>
      </w:r>
      <w:r>
        <w:rPr>
          <w:rFonts w:hint="eastAsia" w:ascii="宋体" w:hAnsi="宋体" w:eastAsia="宋体" w:cs="宋体"/>
          <w:sz w:val="24"/>
          <w:szCs w:val="32"/>
        </w:rPr>
        <w:t>(大写)。</w:t>
      </w:r>
    </w:p>
    <w:p w14:paraId="17B9666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2.合同总价包括供应、包装、仓储、运输装卸、保险、所有含税费用以及供应商认为需要的其他一切费用。系固定不变价格，且不受市场价格变化因素的影响。</w:t>
      </w:r>
    </w:p>
    <w:p w14:paraId="027AFFE0">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Times New Roman" w:hAnsi="Times New Roman" w:eastAsia="宋体" w:cs="Times New Roman"/>
          <w:b/>
          <w:bCs/>
          <w:sz w:val="24"/>
          <w:szCs w:val="32"/>
        </w:rPr>
      </w:pPr>
      <w:r>
        <w:rPr>
          <w:rFonts w:hint="eastAsia" w:ascii="Times New Roman" w:hAnsi="Times New Roman" w:eastAsia="宋体" w:cs="Times New Roman"/>
          <w:b/>
          <w:bCs/>
          <w:sz w:val="24"/>
          <w:szCs w:val="32"/>
        </w:rPr>
        <w:t>三、款项结算</w:t>
      </w:r>
    </w:p>
    <w:p w14:paraId="22CD284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w:t>
      </w:r>
      <w:r>
        <w:rPr>
          <w:rFonts w:hint="eastAsia" w:ascii="宋体" w:hAnsi="宋体" w:eastAsia="宋体" w:cs="宋体"/>
          <w:sz w:val="24"/>
          <w:szCs w:val="32"/>
          <w:lang w:val="en-US" w:eastAsia="zh-CN"/>
        </w:rPr>
        <w:t>一</w:t>
      </w:r>
      <w:r>
        <w:rPr>
          <w:rFonts w:hint="eastAsia" w:ascii="宋体" w:hAnsi="宋体" w:eastAsia="宋体" w:cs="宋体"/>
          <w:sz w:val="24"/>
          <w:szCs w:val="32"/>
        </w:rPr>
        <w:t>)合同签订后，达到付款条件起7日内，甲方向乙方支付合同总金额的40%。至202</w:t>
      </w:r>
      <w:r>
        <w:rPr>
          <w:rFonts w:hint="eastAsia" w:ascii="宋体" w:hAnsi="宋体" w:eastAsia="宋体" w:cs="宋体"/>
          <w:sz w:val="24"/>
          <w:szCs w:val="32"/>
          <w:lang w:val="en-US" w:eastAsia="zh-CN"/>
        </w:rPr>
        <w:t>6</w:t>
      </w:r>
      <w:r>
        <w:rPr>
          <w:rFonts w:hint="eastAsia" w:ascii="宋体" w:hAnsi="宋体" w:eastAsia="宋体" w:cs="宋体"/>
          <w:sz w:val="24"/>
          <w:szCs w:val="32"/>
        </w:rPr>
        <w:t>年12月底，达到付款条件起7日内，支付合同总金额的40%。供货期结束，甲方验收合格后，支付合同总金额的20%。</w:t>
      </w:r>
    </w:p>
    <w:p w14:paraId="3B5A4C6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w:t>
      </w:r>
      <w:r>
        <w:rPr>
          <w:rFonts w:hint="eastAsia" w:ascii="宋体" w:hAnsi="宋体" w:eastAsia="宋体" w:cs="宋体"/>
          <w:sz w:val="24"/>
          <w:szCs w:val="32"/>
          <w:lang w:val="en-US" w:eastAsia="zh-CN"/>
        </w:rPr>
        <w:t>二</w:t>
      </w:r>
      <w:r>
        <w:rPr>
          <w:rFonts w:hint="eastAsia" w:ascii="宋体" w:hAnsi="宋体" w:eastAsia="宋体" w:cs="宋体"/>
          <w:sz w:val="24"/>
          <w:szCs w:val="32"/>
        </w:rPr>
        <w:t>)支付方式：银行转账。</w:t>
      </w:r>
    </w:p>
    <w:p w14:paraId="0571662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w:t>
      </w:r>
      <w:r>
        <w:rPr>
          <w:rFonts w:hint="eastAsia" w:ascii="宋体" w:hAnsi="宋体" w:eastAsia="宋体" w:cs="宋体"/>
          <w:sz w:val="24"/>
          <w:szCs w:val="32"/>
          <w:lang w:val="en-US" w:eastAsia="zh-CN"/>
        </w:rPr>
        <w:t>三</w:t>
      </w:r>
      <w:r>
        <w:rPr>
          <w:rFonts w:hint="eastAsia" w:ascii="宋体" w:hAnsi="宋体" w:eastAsia="宋体" w:cs="宋体"/>
          <w:sz w:val="24"/>
          <w:szCs w:val="32"/>
        </w:rPr>
        <w:t>)结算方式：供应商持成交通知书、供货合同、正式发票与采购人进行结算。</w:t>
      </w:r>
    </w:p>
    <w:p w14:paraId="13D1C65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w:t>
      </w:r>
      <w:r>
        <w:rPr>
          <w:rFonts w:hint="eastAsia" w:ascii="宋体" w:hAnsi="宋体" w:eastAsia="宋体" w:cs="宋体"/>
          <w:sz w:val="24"/>
          <w:szCs w:val="32"/>
          <w:lang w:val="en-US" w:eastAsia="zh-CN"/>
        </w:rPr>
        <w:t>四</w:t>
      </w:r>
      <w:r>
        <w:rPr>
          <w:rFonts w:hint="eastAsia" w:ascii="宋体" w:hAnsi="宋体" w:eastAsia="宋体" w:cs="宋体"/>
          <w:sz w:val="24"/>
          <w:szCs w:val="32"/>
        </w:rPr>
        <w:t>)若乙方未能按时完成交货，甲方有权相应推迟付款时间直至乙方完成交货并经甲方验收合格。如遇特殊情况，甲方有权延迟付款，但需提前通知乙方并说明理由。</w:t>
      </w:r>
    </w:p>
    <w:p w14:paraId="51909D2E">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color w:val="auto"/>
          <w:sz w:val="24"/>
          <w:szCs w:val="22"/>
        </w:rPr>
      </w:pPr>
      <w:r>
        <w:rPr>
          <w:rFonts w:hint="eastAsia"/>
          <w:b/>
          <w:bCs/>
          <w:color w:val="auto"/>
          <w:sz w:val="24"/>
          <w:szCs w:val="22"/>
        </w:rPr>
        <w:t>四、质量保证</w:t>
      </w:r>
    </w:p>
    <w:p w14:paraId="14A1374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(一)所供燃料必须保证质量可靠、进货渠道正规，符合国家相关标准，并满足谈判文件要求。</w:t>
      </w:r>
    </w:p>
    <w:p w14:paraId="2ACF229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二</w:t>
      </w:r>
      <w:r>
        <w:rPr>
          <w:rFonts w:hint="eastAsia" w:ascii="宋体" w:hAnsi="宋体" w:eastAsia="宋体" w:cs="宋体"/>
          <w:sz w:val="24"/>
          <w:szCs w:val="32"/>
          <w:lang w:eastAsia="zh-CN"/>
        </w:rPr>
        <w:t>）</w:t>
      </w:r>
      <w:r>
        <w:rPr>
          <w:rFonts w:hint="eastAsia" w:ascii="宋体" w:hAnsi="宋体" w:eastAsia="宋体" w:cs="宋体"/>
          <w:sz w:val="24"/>
          <w:szCs w:val="32"/>
        </w:rPr>
        <w:t>保证所供燃料在装卸、运输和仓储过程中有充分的包装保护及安全防护措施，防止燃料泄露。供应商在完成燃料交付以前所有风险、产生的费用，都由供应商自行承</w:t>
      </w:r>
      <w:r>
        <w:rPr>
          <w:rFonts w:hint="eastAsia" w:ascii="宋体" w:hAnsi="宋体" w:eastAsia="宋体" w:cs="宋体"/>
          <w:sz w:val="24"/>
          <w:szCs w:val="32"/>
          <w:lang w:val="en-US" w:eastAsia="zh-CN"/>
        </w:rPr>
        <w:t>担</w:t>
      </w:r>
      <w:r>
        <w:rPr>
          <w:rFonts w:hint="eastAsia" w:ascii="宋体" w:hAnsi="宋体" w:eastAsia="宋体" w:cs="宋体"/>
          <w:sz w:val="24"/>
          <w:szCs w:val="32"/>
        </w:rPr>
        <w:t>。</w:t>
      </w:r>
    </w:p>
    <w:p w14:paraId="79B6E0C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(三)严格做好甲醇运输安全管理工作。</w:t>
      </w:r>
    </w:p>
    <w:p w14:paraId="2FD39AB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(四)采购人提出的其他要求。</w:t>
      </w:r>
    </w:p>
    <w:p w14:paraId="5583E3F9">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color w:val="auto"/>
          <w:sz w:val="24"/>
          <w:szCs w:val="22"/>
        </w:rPr>
      </w:pPr>
      <w:r>
        <w:rPr>
          <w:rFonts w:hint="eastAsia"/>
          <w:b/>
          <w:bCs/>
          <w:color w:val="auto"/>
          <w:sz w:val="24"/>
          <w:szCs w:val="22"/>
        </w:rPr>
        <w:t>五、运输</w:t>
      </w:r>
    </w:p>
    <w:p w14:paraId="759AF0F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(一)运输由成交供应商负责，运杂费已包含在合同总价内，包括从货物供应地点运送至交货地点所含的运输费、装卸费、仓储费、保险费等。</w:t>
      </w:r>
    </w:p>
    <w:p w14:paraId="242BE78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(二)运输方式必须使用危险化学品运输专用车辆运送燃料，确保按期供货。</w:t>
      </w:r>
    </w:p>
    <w:p w14:paraId="582EDC5A">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color w:val="auto"/>
          <w:sz w:val="24"/>
          <w:szCs w:val="22"/>
        </w:rPr>
      </w:pPr>
      <w:r>
        <w:rPr>
          <w:rFonts w:hint="eastAsia"/>
          <w:b/>
          <w:bCs/>
          <w:color w:val="auto"/>
          <w:sz w:val="24"/>
          <w:szCs w:val="22"/>
        </w:rPr>
        <w:t>六、双方的权利和义务</w:t>
      </w:r>
    </w:p>
    <w:p w14:paraId="6FC3D4C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(一)采购人的权利和义务</w:t>
      </w:r>
    </w:p>
    <w:p w14:paraId="4E8E507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1.</w:t>
      </w:r>
      <w:r>
        <w:rPr>
          <w:rFonts w:hint="eastAsia" w:ascii="宋体" w:hAnsi="宋体" w:eastAsia="宋体" w:cs="宋体"/>
          <w:sz w:val="24"/>
          <w:szCs w:val="32"/>
        </w:rPr>
        <w:t>采购人有权督促供货商严格贯彻执行国家、西安市政府的有关法律、法规，检查安全防范工作落实情况，签订“安全管理责任书”，确保燃料运输的安全工作落到实处；</w:t>
      </w:r>
    </w:p>
    <w:p w14:paraId="58D7C36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供货商在完成燃料交付以前所有风险、产生的费用，都有供货商自行承担；</w:t>
      </w:r>
    </w:p>
    <w:p w14:paraId="1E1FFE3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3.采购人有权对供货商供应的燃料进行质量检查。</w:t>
      </w:r>
    </w:p>
    <w:p w14:paraId="5CFF6DA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(1)如质检现场检测得出燃料自然含水率不符合国家现行标准和投标响应方案要求的，则拒收该批次燃料，一切后果由供货方承担。</w:t>
      </w:r>
    </w:p>
    <w:p w14:paraId="4D54568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(2)如采购人质检现场检测发现燃料中有掺水、杂等现象的，则直接拒收该批次燃料，并有权终止与供货商的供货合同，一切后果由供货方承担。</w:t>
      </w:r>
    </w:p>
    <w:p w14:paraId="65F1E7D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(3)因供货商所供甲醇不符合国家现行标准造成甲方锅炉设备损坏的，供货商要承担设备更换及维修，由此产生的费用由乙方全额承担。</w:t>
      </w:r>
    </w:p>
    <w:p w14:paraId="7E276DB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4.采购人所使用的炉具、储罐及管道的日常检查，乙方负责维修；</w:t>
      </w:r>
    </w:p>
    <w:p w14:paraId="6961156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5.合同有效期内，供货商负责为采购人各基层单位提供锅炉维护和供暖管道清洗服务，费用已包括在合同总价中。</w:t>
      </w:r>
    </w:p>
    <w:p w14:paraId="57F85C6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6.供货商负责对采购方操作</w:t>
      </w:r>
      <w:r>
        <w:rPr>
          <w:rFonts w:hint="eastAsia" w:ascii="宋体" w:hAnsi="宋体" w:eastAsia="宋体" w:cs="宋体"/>
          <w:sz w:val="24"/>
          <w:szCs w:val="32"/>
          <w:lang w:eastAsia="zh-CN"/>
        </w:rPr>
        <w:t>人员</w:t>
      </w:r>
      <w:r>
        <w:rPr>
          <w:rFonts w:hint="eastAsia" w:ascii="宋体" w:hAnsi="宋体" w:eastAsia="宋体" w:cs="宋体"/>
          <w:sz w:val="24"/>
          <w:szCs w:val="32"/>
        </w:rPr>
        <w:t>的培训、使甲方熟练使用；</w:t>
      </w:r>
    </w:p>
    <w:p w14:paraId="681A328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7.供货商免费为甲方制作制度牌(甲醇燃料操作规程、管理制度、应急处置办法)和应急预案一份，以及乙方公司的相关资质。</w:t>
      </w:r>
    </w:p>
    <w:p w14:paraId="00679AC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(二)乙方的权利和义务</w:t>
      </w:r>
    </w:p>
    <w:p w14:paraId="78859CF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eastAsia="zh-CN"/>
        </w:rPr>
        <w:t>1.</w:t>
      </w:r>
      <w:r>
        <w:rPr>
          <w:rFonts w:hint="eastAsia" w:ascii="宋体" w:hAnsi="宋体" w:eastAsia="宋体" w:cs="宋体"/>
          <w:sz w:val="24"/>
          <w:szCs w:val="32"/>
        </w:rPr>
        <w:t>采购人需供应燃料时，提前</w:t>
      </w:r>
      <w:r>
        <w:rPr>
          <w:rFonts w:hint="eastAsia" w:ascii="宋体" w:hAnsi="宋体" w:eastAsia="宋体" w:cs="宋体"/>
          <w:sz w:val="24"/>
          <w:szCs w:val="32"/>
          <w:lang w:val="en-US" w:eastAsia="zh-CN"/>
        </w:rPr>
        <w:t>5</w:t>
      </w:r>
      <w:r>
        <w:rPr>
          <w:rFonts w:hint="eastAsia" w:ascii="宋体" w:hAnsi="宋体" w:eastAsia="宋体" w:cs="宋体"/>
          <w:sz w:val="24"/>
          <w:szCs w:val="32"/>
        </w:rPr>
        <w:t>个工作日通知供货商；</w:t>
      </w:r>
    </w:p>
    <w:p w14:paraId="27FA647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eastAsia="zh-CN"/>
        </w:rPr>
        <w:t>2.</w:t>
      </w:r>
      <w:r>
        <w:rPr>
          <w:rFonts w:hint="eastAsia" w:ascii="宋体" w:hAnsi="宋体" w:eastAsia="宋体" w:cs="宋体"/>
          <w:sz w:val="24"/>
          <w:szCs w:val="32"/>
        </w:rPr>
        <w:t>如遇道路结冰封路，塌方</w:t>
      </w:r>
      <w:r>
        <w:rPr>
          <w:rFonts w:hint="eastAsia" w:ascii="宋体" w:hAnsi="宋体" w:eastAsia="宋体" w:cs="宋体"/>
          <w:sz w:val="24"/>
          <w:szCs w:val="32"/>
          <w:lang w:eastAsia="zh-CN"/>
        </w:rPr>
        <w:t>等不可抗力</w:t>
      </w:r>
      <w:r>
        <w:rPr>
          <w:rFonts w:hint="eastAsia" w:ascii="宋体" w:hAnsi="宋体" w:eastAsia="宋体" w:cs="宋体"/>
          <w:sz w:val="24"/>
          <w:szCs w:val="32"/>
        </w:rPr>
        <w:t>的因素，供货商应及时通知采购方，协调燃料送货时间；</w:t>
      </w:r>
    </w:p>
    <w:p w14:paraId="218F4AA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eastAsia="zh-CN"/>
        </w:rPr>
        <w:t>3.</w:t>
      </w:r>
      <w:r>
        <w:rPr>
          <w:rFonts w:hint="eastAsia" w:ascii="宋体" w:hAnsi="宋体" w:eastAsia="宋体" w:cs="宋体"/>
          <w:sz w:val="24"/>
          <w:szCs w:val="32"/>
        </w:rPr>
        <w:t>在合同供应期间，如果乙方供应的燃料超过合同总量时，超出的部分采购人按市场价格支付。</w:t>
      </w:r>
    </w:p>
    <w:p w14:paraId="3CED5BC8">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color w:val="auto"/>
          <w:sz w:val="24"/>
          <w:szCs w:val="22"/>
        </w:rPr>
      </w:pPr>
      <w:r>
        <w:rPr>
          <w:rFonts w:hint="eastAsia"/>
          <w:b/>
          <w:bCs/>
          <w:color w:val="auto"/>
          <w:sz w:val="24"/>
          <w:szCs w:val="22"/>
        </w:rPr>
        <w:t>七、验收</w:t>
      </w:r>
    </w:p>
    <w:p w14:paraId="06ABFD2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一)货物送达采购人指定地点后，采购人根据合同要求，进行验收(抽检)，确认产地、规格和数量。必要时委托具有相关资质的第三方检测机构对货物外观质量水分等进行抽样检验，检验费用由成交供应商承担。验收合格后，填写政府采购项目验收单(一式伍份)作为对项目的最终认可。</w:t>
      </w:r>
    </w:p>
    <w:p w14:paraId="39C08DD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(二)验收依据</w:t>
      </w:r>
    </w:p>
    <w:p w14:paraId="08296F1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eastAsia="zh-CN"/>
        </w:rPr>
        <w:t>1.谈判</w:t>
      </w:r>
      <w:r>
        <w:rPr>
          <w:rFonts w:hint="eastAsia" w:ascii="宋体" w:hAnsi="宋体" w:eastAsia="宋体" w:cs="宋体"/>
          <w:sz w:val="24"/>
          <w:szCs w:val="32"/>
        </w:rPr>
        <w:t>文件、响应文件、澄清表(函)；</w:t>
      </w:r>
    </w:p>
    <w:p w14:paraId="50353E5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eastAsia="zh-CN"/>
        </w:rPr>
        <w:t>2.</w:t>
      </w:r>
      <w:r>
        <w:rPr>
          <w:rFonts w:hint="eastAsia" w:ascii="宋体" w:hAnsi="宋体" w:eastAsia="宋体" w:cs="宋体"/>
          <w:sz w:val="24"/>
          <w:szCs w:val="32"/>
        </w:rPr>
        <w:t>本合同及附件文本；</w:t>
      </w:r>
    </w:p>
    <w:p w14:paraId="53BD71F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eastAsia="zh-CN"/>
        </w:rPr>
        <w:t>3.</w:t>
      </w:r>
      <w:r>
        <w:rPr>
          <w:rFonts w:hint="eastAsia" w:ascii="宋体" w:hAnsi="宋体" w:eastAsia="宋体" w:cs="宋体"/>
          <w:sz w:val="24"/>
          <w:szCs w:val="32"/>
        </w:rPr>
        <w:t>国家相应的标准、规范。</w:t>
      </w:r>
    </w:p>
    <w:p w14:paraId="7A086F7F">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color w:val="auto"/>
          <w:sz w:val="24"/>
          <w:szCs w:val="22"/>
        </w:rPr>
      </w:pPr>
      <w:r>
        <w:rPr>
          <w:rFonts w:hint="eastAsia"/>
          <w:b/>
          <w:bCs/>
          <w:color w:val="auto"/>
          <w:sz w:val="24"/>
          <w:szCs w:val="22"/>
        </w:rPr>
        <w:t>八、技术与服务</w:t>
      </w:r>
    </w:p>
    <w:p w14:paraId="3E2BDF3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(一)技术资料</w:t>
      </w:r>
    </w:p>
    <w:p w14:paraId="37D2B6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eastAsia="zh-CN"/>
        </w:rPr>
        <w:t>1.</w:t>
      </w:r>
      <w:r>
        <w:rPr>
          <w:rFonts w:hint="eastAsia" w:ascii="宋体" w:hAnsi="宋体" w:eastAsia="宋体" w:cs="宋体"/>
          <w:sz w:val="24"/>
          <w:szCs w:val="32"/>
        </w:rPr>
        <w:t>出厂质量合格证；</w:t>
      </w:r>
    </w:p>
    <w:p w14:paraId="6E67B4D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eastAsia="zh-CN"/>
        </w:rPr>
        <w:t>2.</w:t>
      </w:r>
      <w:r>
        <w:rPr>
          <w:rFonts w:hint="eastAsia" w:ascii="宋体" w:hAnsi="宋体" w:eastAsia="宋体" w:cs="宋体"/>
          <w:sz w:val="24"/>
          <w:szCs w:val="32"/>
        </w:rPr>
        <w:t>燃料</w:t>
      </w:r>
      <w:r>
        <w:rPr>
          <w:rFonts w:hint="eastAsia" w:ascii="宋体" w:hAnsi="宋体" w:eastAsia="宋体" w:cs="宋体"/>
          <w:sz w:val="24"/>
          <w:szCs w:val="32"/>
          <w:lang w:eastAsia="zh-CN"/>
        </w:rPr>
        <w:t>成分</w:t>
      </w:r>
      <w:r>
        <w:rPr>
          <w:rFonts w:hint="eastAsia" w:ascii="宋体" w:hAnsi="宋体" w:eastAsia="宋体" w:cs="宋体"/>
          <w:sz w:val="24"/>
          <w:szCs w:val="32"/>
        </w:rPr>
        <w:t>及检测报告；</w:t>
      </w:r>
    </w:p>
    <w:p w14:paraId="6930598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eastAsia="zh-CN"/>
        </w:rPr>
        <w:t>3.</w:t>
      </w:r>
      <w:r>
        <w:rPr>
          <w:rFonts w:hint="eastAsia" w:ascii="宋体" w:hAnsi="宋体" w:eastAsia="宋体" w:cs="宋体"/>
          <w:sz w:val="24"/>
          <w:szCs w:val="32"/>
        </w:rPr>
        <w:t>使用说明；</w:t>
      </w:r>
    </w:p>
    <w:p w14:paraId="595C2C3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eastAsia="zh-CN"/>
        </w:rPr>
        <w:t>4.</w:t>
      </w:r>
      <w:r>
        <w:rPr>
          <w:rFonts w:hint="eastAsia" w:ascii="宋体" w:hAnsi="宋体" w:eastAsia="宋体" w:cs="宋体"/>
          <w:sz w:val="24"/>
          <w:szCs w:val="32"/>
        </w:rPr>
        <w:t>其它资料。</w:t>
      </w:r>
    </w:p>
    <w:p w14:paraId="40F5723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(二)服务承诺</w:t>
      </w:r>
    </w:p>
    <w:p w14:paraId="3AA6995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以响应文件、澄清表(函)、合同和货物的相关文件为准。</w:t>
      </w:r>
    </w:p>
    <w:p w14:paraId="2B6ECA1B">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color w:val="auto"/>
          <w:sz w:val="24"/>
          <w:szCs w:val="22"/>
        </w:rPr>
      </w:pPr>
      <w:r>
        <w:rPr>
          <w:rFonts w:hint="eastAsia"/>
          <w:b/>
          <w:bCs/>
          <w:color w:val="auto"/>
          <w:sz w:val="24"/>
          <w:szCs w:val="22"/>
        </w:rPr>
        <w:t>九、违约责任</w:t>
      </w:r>
    </w:p>
    <w:p w14:paraId="2906BE9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(一)按《民法典》中的相关条款执行。</w:t>
      </w:r>
    </w:p>
    <w:p w14:paraId="3E78B61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(二)每次供货，若由于供应商原因(非不可抗力原因)导致无法按时配送到位，每迟1天，扣除1000元作为违约金。</w:t>
      </w:r>
    </w:p>
    <w:p w14:paraId="0F73613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3"/>
          <w:szCs w:val="23"/>
        </w:rPr>
      </w:pPr>
      <w:r>
        <w:rPr>
          <w:rFonts w:hint="eastAsia" w:ascii="宋体" w:hAnsi="宋体" w:eastAsia="宋体" w:cs="宋体"/>
          <w:sz w:val="24"/>
          <w:szCs w:val="32"/>
        </w:rPr>
        <w:t>(三)未按合同要求提供燃料或燃料不能满足合同要求，采购人应当将供应商违约的情况以及拟采取的措施以书面形式报政府采购监管部门，根据政府采购监管部门的处理意见，采购人有权依据《民法典》有关条款及合同约定终止合同，并要求供应商承担违约责任。同时，政府采购监管部门有权依据《政府采购法》及相关法律法规对供应商的违法行为进行相应的处罚。</w:t>
      </w:r>
    </w:p>
    <w:p w14:paraId="5B098E77">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color w:val="auto"/>
          <w:sz w:val="24"/>
          <w:szCs w:val="22"/>
        </w:rPr>
      </w:pPr>
      <w:r>
        <w:rPr>
          <w:rFonts w:hint="eastAsia"/>
          <w:b/>
          <w:bCs/>
          <w:color w:val="auto"/>
          <w:sz w:val="24"/>
          <w:szCs w:val="22"/>
        </w:rPr>
        <w:t>十、合同生效及其他</w:t>
      </w:r>
    </w:p>
    <w:p w14:paraId="6C993C1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1、本合同自签订之日起生效。</w:t>
      </w:r>
    </w:p>
    <w:p w14:paraId="70E67C6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2、合同一式</w:t>
      </w:r>
      <w:r>
        <w:rPr>
          <w:rFonts w:hint="eastAsia" w:ascii="宋体" w:hAnsi="宋体" w:eastAsia="宋体" w:cs="宋体"/>
          <w:sz w:val="24"/>
          <w:szCs w:val="32"/>
          <w:lang w:val="en-US" w:eastAsia="zh-CN"/>
        </w:rPr>
        <w:t>陆</w:t>
      </w:r>
      <w:r>
        <w:rPr>
          <w:rFonts w:hint="eastAsia" w:ascii="宋体" w:hAnsi="宋体" w:eastAsia="宋体" w:cs="宋体"/>
          <w:sz w:val="24"/>
          <w:szCs w:val="32"/>
        </w:rPr>
        <w:t>份，采购人、成交供应商</w:t>
      </w:r>
      <w:r>
        <w:rPr>
          <w:rFonts w:hint="eastAsia" w:ascii="宋体" w:hAnsi="宋体" w:eastAsia="宋体" w:cs="宋体"/>
          <w:sz w:val="24"/>
          <w:szCs w:val="32"/>
          <w:lang w:val="en-US" w:eastAsia="zh-CN"/>
        </w:rPr>
        <w:t>各三份。</w:t>
      </w:r>
    </w:p>
    <w:p w14:paraId="317518B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3、如本合同有未尽事宜，以</w:t>
      </w:r>
      <w:r>
        <w:rPr>
          <w:rFonts w:hint="eastAsia" w:ascii="宋体" w:hAnsi="宋体" w:eastAsia="宋体" w:cs="宋体"/>
          <w:i w:val="0"/>
          <w:iCs w:val="0"/>
          <w:caps w:val="0"/>
          <w:color w:val="auto"/>
          <w:spacing w:val="0"/>
          <w:sz w:val="24"/>
          <w:szCs w:val="24"/>
          <w:highlight w:val="none"/>
          <w:shd w:val="clear" w:fill="FFFFFF"/>
          <w:vertAlign w:val="baseline"/>
          <w:lang w:val="en-US" w:eastAsia="zh-CN"/>
        </w:rPr>
        <w:t>谈判</w:t>
      </w:r>
      <w:r>
        <w:rPr>
          <w:rFonts w:hint="eastAsia" w:ascii="宋体" w:hAnsi="宋体" w:eastAsia="宋体" w:cs="宋体"/>
          <w:sz w:val="24"/>
          <w:szCs w:val="32"/>
        </w:rPr>
        <w:t>文件为准，</w:t>
      </w:r>
      <w:r>
        <w:rPr>
          <w:rFonts w:hint="eastAsia" w:ascii="宋体" w:hAnsi="宋体" w:eastAsia="宋体" w:cs="宋体"/>
          <w:i w:val="0"/>
          <w:iCs w:val="0"/>
          <w:caps w:val="0"/>
          <w:color w:val="auto"/>
          <w:spacing w:val="0"/>
          <w:sz w:val="24"/>
          <w:szCs w:val="24"/>
          <w:highlight w:val="none"/>
          <w:shd w:val="clear" w:fill="FFFFFF"/>
          <w:vertAlign w:val="baseline"/>
          <w:lang w:val="en-US" w:eastAsia="zh-CN"/>
        </w:rPr>
        <w:t>谈判</w:t>
      </w:r>
      <w:r>
        <w:rPr>
          <w:rFonts w:hint="eastAsia" w:ascii="宋体" w:hAnsi="宋体" w:eastAsia="宋体" w:cs="宋体"/>
          <w:sz w:val="24"/>
          <w:szCs w:val="32"/>
        </w:rPr>
        <w:t>文件未做要求的，由双方依法订立补充合同。</w:t>
      </w:r>
    </w:p>
    <w:p w14:paraId="6B58E4FD">
      <w:pPr>
        <w:spacing w:line="146" w:lineRule="exact"/>
        <w:rPr>
          <w:rFonts w:hint="eastAsia" w:ascii="宋体" w:hAnsi="宋体" w:eastAsia="宋体" w:cs="宋体"/>
        </w:rPr>
      </w:pPr>
    </w:p>
    <w:tbl>
      <w:tblPr>
        <w:tblStyle w:val="10"/>
        <w:tblW w:w="9077" w:type="dxa"/>
        <w:tblInd w:w="6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25"/>
        <w:gridCol w:w="4652"/>
      </w:tblGrid>
      <w:tr w14:paraId="55826E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4425" w:type="dxa"/>
            <w:shd w:val="clear" w:color="auto" w:fill="D8D8D8"/>
            <w:vAlign w:val="top"/>
          </w:tcPr>
          <w:p w14:paraId="0E10CE34">
            <w:pPr>
              <w:spacing w:before="39" w:line="231" w:lineRule="auto"/>
              <w:jc w:val="center"/>
              <w:rPr>
                <w:rFonts w:hint="eastAsia" w:ascii="宋体" w:hAnsi="宋体" w:eastAsia="宋体" w:cs="宋体"/>
                <w:sz w:val="23"/>
                <w:szCs w:val="23"/>
              </w:rPr>
            </w:pPr>
            <w:r>
              <w:rPr>
                <w:rFonts w:hint="eastAsia" w:ascii="宋体" w:hAnsi="宋体" w:eastAsia="宋体" w:cs="宋体"/>
                <w:spacing w:val="-1"/>
                <w:sz w:val="23"/>
                <w:szCs w:val="23"/>
                <w14:textOutline w14:w="4358" w14:cap="sq" w14:cmpd="sng">
                  <w14:solidFill>
                    <w14:srgbClr w14:val="000000"/>
                  </w14:solidFill>
                  <w14:prstDash w14:val="solid"/>
                  <w14:bevel/>
                </w14:textOutline>
              </w:rPr>
              <w:t>甲</w:t>
            </w:r>
            <w:r>
              <w:rPr>
                <w:rFonts w:hint="eastAsia" w:ascii="宋体" w:hAnsi="宋体" w:eastAsia="宋体" w:cs="宋体"/>
                <w:spacing w:val="-1"/>
                <w:sz w:val="23"/>
                <w:szCs w:val="23"/>
              </w:rPr>
              <w:t xml:space="preserve">  </w:t>
            </w:r>
            <w:r>
              <w:rPr>
                <w:rFonts w:hint="eastAsia" w:ascii="宋体" w:hAnsi="宋体" w:eastAsia="宋体" w:cs="宋体"/>
                <w:spacing w:val="-1"/>
                <w:sz w:val="23"/>
                <w:szCs w:val="23"/>
                <w14:textOutline w14:w="4358" w14:cap="sq" w14:cmpd="sng">
                  <w14:solidFill>
                    <w14:srgbClr w14:val="000000"/>
                  </w14:solidFill>
                  <w14:prstDash w14:val="solid"/>
                  <w14:bevel/>
                </w14:textOutline>
              </w:rPr>
              <w:t>方</w:t>
            </w:r>
          </w:p>
        </w:tc>
        <w:tc>
          <w:tcPr>
            <w:tcW w:w="4652" w:type="dxa"/>
            <w:shd w:val="clear" w:color="auto" w:fill="D8D8D8"/>
            <w:vAlign w:val="top"/>
          </w:tcPr>
          <w:p w14:paraId="43B5EA86">
            <w:pPr>
              <w:spacing w:before="39" w:line="233" w:lineRule="auto"/>
              <w:jc w:val="center"/>
              <w:rPr>
                <w:rFonts w:hint="eastAsia" w:ascii="宋体" w:hAnsi="宋体" w:eastAsia="宋体" w:cs="宋体"/>
                <w:sz w:val="23"/>
                <w:szCs w:val="23"/>
              </w:rPr>
            </w:pPr>
            <w:r>
              <w:rPr>
                <w:rFonts w:hint="eastAsia" w:ascii="宋体" w:hAnsi="宋体" w:eastAsia="宋体" w:cs="宋体"/>
                <w:spacing w:val="2"/>
                <w:sz w:val="23"/>
                <w:szCs w:val="23"/>
                <w14:textOutline w14:w="4358" w14:cap="sq" w14:cmpd="sng">
                  <w14:solidFill>
                    <w14:srgbClr w14:val="000000"/>
                  </w14:solidFill>
                  <w14:prstDash w14:val="solid"/>
                  <w14:bevel/>
                </w14:textOutline>
              </w:rPr>
              <w:t>乙</w:t>
            </w:r>
            <w:r>
              <w:rPr>
                <w:rFonts w:hint="eastAsia" w:ascii="宋体" w:hAnsi="宋体" w:eastAsia="宋体" w:cs="宋体"/>
                <w:spacing w:val="2"/>
                <w:sz w:val="23"/>
                <w:szCs w:val="23"/>
              </w:rPr>
              <w:t xml:space="preserve">  </w:t>
            </w:r>
            <w:r>
              <w:rPr>
                <w:rFonts w:hint="eastAsia" w:ascii="宋体" w:hAnsi="宋体" w:eastAsia="宋体" w:cs="宋体"/>
                <w:spacing w:val="2"/>
                <w:sz w:val="23"/>
                <w:szCs w:val="23"/>
                <w14:textOutline w14:w="4358" w14:cap="sq" w14:cmpd="sng">
                  <w14:solidFill>
                    <w14:srgbClr w14:val="000000"/>
                  </w14:solidFill>
                  <w14:prstDash w14:val="solid"/>
                  <w14:bevel/>
                </w14:textOutline>
              </w:rPr>
              <w:t>方</w:t>
            </w:r>
          </w:p>
        </w:tc>
      </w:tr>
      <w:tr w14:paraId="416E1A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3" w:hRule="atLeast"/>
        </w:trPr>
        <w:tc>
          <w:tcPr>
            <w:tcW w:w="4425" w:type="dxa"/>
            <w:vAlign w:val="top"/>
          </w:tcPr>
          <w:p w14:paraId="13144D9E">
            <w:pPr>
              <w:spacing w:before="138" w:line="466" w:lineRule="exact"/>
              <w:ind w:left="124"/>
              <w:rPr>
                <w:rFonts w:hint="eastAsia" w:ascii="宋体" w:hAnsi="宋体" w:eastAsia="宋体" w:cs="宋体"/>
                <w:sz w:val="23"/>
                <w:szCs w:val="23"/>
              </w:rPr>
            </w:pPr>
            <w:r>
              <w:rPr>
                <w:rFonts w:hint="eastAsia" w:ascii="宋体" w:hAnsi="宋体" w:eastAsia="宋体" w:cs="宋体"/>
                <w:spacing w:val="4"/>
                <w:position w:val="17"/>
                <w:sz w:val="23"/>
                <w:szCs w:val="23"/>
              </w:rPr>
              <w:t>采购人</w:t>
            </w:r>
          </w:p>
          <w:p w14:paraId="2225ECFA">
            <w:pPr>
              <w:spacing w:line="230" w:lineRule="auto"/>
              <w:ind w:left="127"/>
              <w:rPr>
                <w:rFonts w:hint="eastAsia" w:ascii="宋体" w:hAnsi="宋体" w:eastAsia="宋体" w:cs="宋体"/>
                <w:sz w:val="23"/>
                <w:szCs w:val="23"/>
              </w:rPr>
            </w:pPr>
            <w:r>
              <w:rPr>
                <w:rFonts w:hint="eastAsia" w:ascii="宋体" w:hAnsi="宋体" w:eastAsia="宋体" w:cs="宋体"/>
                <w:spacing w:val="31"/>
                <w:sz w:val="23"/>
                <w:szCs w:val="23"/>
              </w:rPr>
              <w:t>(公章)</w:t>
            </w:r>
          </w:p>
        </w:tc>
        <w:tc>
          <w:tcPr>
            <w:tcW w:w="4652" w:type="dxa"/>
            <w:vAlign w:val="top"/>
          </w:tcPr>
          <w:p w14:paraId="1DF61356">
            <w:pPr>
              <w:spacing w:before="138" w:line="466" w:lineRule="exact"/>
              <w:ind w:left="124"/>
              <w:rPr>
                <w:rFonts w:hint="eastAsia" w:ascii="宋体" w:hAnsi="宋体" w:eastAsia="宋体" w:cs="宋体"/>
                <w:sz w:val="23"/>
                <w:szCs w:val="23"/>
              </w:rPr>
            </w:pPr>
            <w:r>
              <w:rPr>
                <w:rFonts w:hint="eastAsia" w:ascii="宋体" w:hAnsi="宋体" w:eastAsia="宋体" w:cs="宋体"/>
                <w:spacing w:val="6"/>
                <w:position w:val="17"/>
                <w:sz w:val="23"/>
                <w:szCs w:val="23"/>
              </w:rPr>
              <w:t>供应商</w:t>
            </w:r>
          </w:p>
          <w:p w14:paraId="40CDFF9C">
            <w:pPr>
              <w:spacing w:line="230" w:lineRule="auto"/>
              <w:ind w:left="125"/>
              <w:rPr>
                <w:rFonts w:hint="eastAsia" w:ascii="宋体" w:hAnsi="宋体" w:eastAsia="宋体" w:cs="宋体"/>
                <w:sz w:val="23"/>
                <w:szCs w:val="23"/>
              </w:rPr>
            </w:pPr>
            <w:r>
              <w:rPr>
                <w:rFonts w:hint="eastAsia" w:ascii="宋体" w:hAnsi="宋体" w:eastAsia="宋体" w:cs="宋体"/>
                <w:spacing w:val="31"/>
                <w:sz w:val="23"/>
                <w:szCs w:val="23"/>
              </w:rPr>
              <w:t>(公章)</w:t>
            </w:r>
          </w:p>
        </w:tc>
      </w:tr>
      <w:tr w14:paraId="6CBA86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425" w:type="dxa"/>
            <w:vAlign w:val="top"/>
          </w:tcPr>
          <w:p w14:paraId="0EC7B926">
            <w:pPr>
              <w:spacing w:before="36"/>
              <w:ind w:left="123"/>
              <w:rPr>
                <w:rFonts w:hint="eastAsia" w:ascii="宋体" w:hAnsi="宋体" w:eastAsia="宋体" w:cs="宋体"/>
                <w:sz w:val="23"/>
                <w:szCs w:val="23"/>
              </w:rPr>
            </w:pPr>
            <w:r>
              <w:rPr>
                <w:rFonts w:hint="eastAsia" w:ascii="宋体" w:hAnsi="宋体" w:eastAsia="宋体" w:cs="宋体"/>
                <w:spacing w:val="1"/>
                <w:sz w:val="23"/>
                <w:szCs w:val="23"/>
              </w:rPr>
              <w:t>地址：</w:t>
            </w:r>
          </w:p>
        </w:tc>
        <w:tc>
          <w:tcPr>
            <w:tcW w:w="4652" w:type="dxa"/>
            <w:vAlign w:val="top"/>
          </w:tcPr>
          <w:p w14:paraId="14264A4E">
            <w:pPr>
              <w:spacing w:before="36"/>
              <w:ind w:left="121"/>
              <w:rPr>
                <w:rFonts w:hint="eastAsia" w:ascii="宋体" w:hAnsi="宋体" w:eastAsia="宋体" w:cs="宋体"/>
                <w:sz w:val="23"/>
                <w:szCs w:val="23"/>
              </w:rPr>
            </w:pPr>
            <w:r>
              <w:rPr>
                <w:rFonts w:hint="eastAsia" w:ascii="宋体" w:hAnsi="宋体" w:eastAsia="宋体" w:cs="宋体"/>
                <w:spacing w:val="1"/>
                <w:sz w:val="23"/>
                <w:szCs w:val="23"/>
              </w:rPr>
              <w:t>地址：</w:t>
            </w:r>
          </w:p>
        </w:tc>
      </w:tr>
      <w:tr w14:paraId="192032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425" w:type="dxa"/>
            <w:vAlign w:val="top"/>
          </w:tcPr>
          <w:p w14:paraId="58DA50CE">
            <w:pPr>
              <w:spacing w:before="37" w:line="230" w:lineRule="auto"/>
              <w:ind w:left="140"/>
              <w:rPr>
                <w:rFonts w:hint="eastAsia" w:ascii="宋体" w:hAnsi="宋体" w:eastAsia="宋体" w:cs="宋体"/>
                <w:sz w:val="23"/>
                <w:szCs w:val="23"/>
              </w:rPr>
            </w:pPr>
            <w:r>
              <w:rPr>
                <w:rFonts w:hint="eastAsia" w:ascii="宋体" w:hAnsi="宋体" w:eastAsia="宋体" w:cs="宋体"/>
                <w:spacing w:val="-6"/>
                <w:sz w:val="23"/>
                <w:szCs w:val="23"/>
              </w:rPr>
              <w:t>邮</w:t>
            </w:r>
            <w:r>
              <w:rPr>
                <w:rFonts w:hint="eastAsia" w:ascii="宋体" w:hAnsi="宋体" w:eastAsia="宋体" w:cs="宋体"/>
                <w:spacing w:val="-4"/>
                <w:sz w:val="23"/>
                <w:szCs w:val="23"/>
              </w:rPr>
              <w:t>编：</w:t>
            </w:r>
          </w:p>
        </w:tc>
        <w:tc>
          <w:tcPr>
            <w:tcW w:w="4652" w:type="dxa"/>
            <w:vAlign w:val="top"/>
          </w:tcPr>
          <w:p w14:paraId="625576C6">
            <w:pPr>
              <w:spacing w:before="37" w:line="230" w:lineRule="auto"/>
              <w:ind w:left="138"/>
              <w:rPr>
                <w:rFonts w:hint="eastAsia" w:ascii="宋体" w:hAnsi="宋体" w:eastAsia="宋体" w:cs="宋体"/>
                <w:sz w:val="23"/>
                <w:szCs w:val="23"/>
              </w:rPr>
            </w:pPr>
            <w:r>
              <w:rPr>
                <w:rFonts w:hint="eastAsia" w:ascii="宋体" w:hAnsi="宋体" w:eastAsia="宋体" w:cs="宋体"/>
                <w:spacing w:val="-6"/>
                <w:sz w:val="23"/>
                <w:szCs w:val="23"/>
              </w:rPr>
              <w:t>邮</w:t>
            </w:r>
            <w:r>
              <w:rPr>
                <w:rFonts w:hint="eastAsia" w:ascii="宋体" w:hAnsi="宋体" w:eastAsia="宋体" w:cs="宋体"/>
                <w:spacing w:val="-4"/>
                <w:sz w:val="23"/>
                <w:szCs w:val="23"/>
              </w:rPr>
              <w:t>编：</w:t>
            </w:r>
          </w:p>
        </w:tc>
      </w:tr>
      <w:tr w14:paraId="59686A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425" w:type="dxa"/>
            <w:vAlign w:val="top"/>
          </w:tcPr>
          <w:p w14:paraId="456882D1">
            <w:pPr>
              <w:spacing w:before="38" w:line="231" w:lineRule="auto"/>
              <w:ind w:left="130"/>
              <w:rPr>
                <w:rFonts w:hint="eastAsia" w:ascii="宋体" w:hAnsi="宋体" w:eastAsia="宋体" w:cs="宋体"/>
                <w:sz w:val="23"/>
                <w:szCs w:val="23"/>
              </w:rPr>
            </w:pPr>
            <w:r>
              <w:rPr>
                <w:rFonts w:hint="eastAsia" w:ascii="宋体" w:hAnsi="宋体" w:eastAsia="宋体" w:cs="宋体"/>
                <w:spacing w:val="6"/>
                <w:sz w:val="23"/>
                <w:szCs w:val="23"/>
              </w:rPr>
              <w:t>法</w:t>
            </w:r>
            <w:r>
              <w:rPr>
                <w:rFonts w:hint="eastAsia" w:ascii="宋体" w:hAnsi="宋体" w:eastAsia="宋体" w:cs="宋体"/>
                <w:spacing w:val="4"/>
                <w:sz w:val="23"/>
                <w:szCs w:val="23"/>
              </w:rPr>
              <w:t>定代表人：</w:t>
            </w:r>
          </w:p>
        </w:tc>
        <w:tc>
          <w:tcPr>
            <w:tcW w:w="4652" w:type="dxa"/>
            <w:vAlign w:val="top"/>
          </w:tcPr>
          <w:p w14:paraId="63EF8658">
            <w:pPr>
              <w:spacing w:before="38" w:line="231" w:lineRule="auto"/>
              <w:ind w:left="128"/>
              <w:rPr>
                <w:rFonts w:hint="eastAsia" w:ascii="宋体" w:hAnsi="宋体" w:eastAsia="宋体" w:cs="宋体"/>
                <w:sz w:val="23"/>
                <w:szCs w:val="23"/>
              </w:rPr>
            </w:pPr>
            <w:r>
              <w:rPr>
                <w:rFonts w:hint="eastAsia" w:ascii="宋体" w:hAnsi="宋体" w:eastAsia="宋体" w:cs="宋体"/>
                <w:spacing w:val="6"/>
                <w:sz w:val="23"/>
                <w:szCs w:val="23"/>
              </w:rPr>
              <w:t>法</w:t>
            </w:r>
            <w:r>
              <w:rPr>
                <w:rFonts w:hint="eastAsia" w:ascii="宋体" w:hAnsi="宋体" w:eastAsia="宋体" w:cs="宋体"/>
                <w:spacing w:val="4"/>
                <w:sz w:val="23"/>
                <w:szCs w:val="23"/>
              </w:rPr>
              <w:t>定代表人：</w:t>
            </w:r>
          </w:p>
        </w:tc>
      </w:tr>
      <w:tr w14:paraId="31C931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425" w:type="dxa"/>
            <w:vAlign w:val="top"/>
          </w:tcPr>
          <w:p w14:paraId="33DF9658">
            <w:pPr>
              <w:spacing w:before="38" w:line="232" w:lineRule="auto"/>
              <w:ind w:left="129"/>
              <w:rPr>
                <w:rFonts w:hint="eastAsia" w:ascii="宋体" w:hAnsi="宋体" w:eastAsia="宋体" w:cs="宋体"/>
                <w:sz w:val="23"/>
                <w:szCs w:val="23"/>
              </w:rPr>
            </w:pPr>
            <w:r>
              <w:rPr>
                <w:rFonts w:hint="eastAsia" w:ascii="宋体" w:hAnsi="宋体" w:eastAsia="宋体" w:cs="宋体"/>
                <w:spacing w:val="-12"/>
                <w:sz w:val="23"/>
                <w:szCs w:val="23"/>
              </w:rPr>
              <w:t>负</w:t>
            </w:r>
            <w:r>
              <w:rPr>
                <w:rFonts w:hint="eastAsia" w:ascii="宋体" w:hAnsi="宋体" w:eastAsia="宋体" w:cs="宋体"/>
                <w:spacing w:val="-8"/>
                <w:sz w:val="23"/>
                <w:szCs w:val="23"/>
              </w:rPr>
              <w:t>责</w:t>
            </w:r>
            <w:r>
              <w:rPr>
                <w:rFonts w:hint="eastAsia" w:ascii="宋体" w:hAnsi="宋体" w:eastAsia="宋体" w:cs="宋体"/>
                <w:spacing w:val="-6"/>
                <w:sz w:val="23"/>
                <w:szCs w:val="23"/>
              </w:rPr>
              <w:t>人：  (签字)</w:t>
            </w:r>
          </w:p>
        </w:tc>
        <w:tc>
          <w:tcPr>
            <w:tcW w:w="4652" w:type="dxa"/>
            <w:vAlign w:val="top"/>
          </w:tcPr>
          <w:p w14:paraId="6428E683">
            <w:pPr>
              <w:spacing w:before="38" w:line="232" w:lineRule="auto"/>
              <w:ind w:left="127"/>
              <w:rPr>
                <w:rFonts w:hint="eastAsia" w:ascii="宋体" w:hAnsi="宋体" w:eastAsia="宋体" w:cs="宋体"/>
                <w:sz w:val="23"/>
                <w:szCs w:val="23"/>
              </w:rPr>
            </w:pPr>
            <w:r>
              <w:rPr>
                <w:rFonts w:hint="eastAsia" w:ascii="宋体" w:hAnsi="宋体" w:eastAsia="宋体" w:cs="宋体"/>
                <w:spacing w:val="-12"/>
                <w:sz w:val="23"/>
                <w:szCs w:val="23"/>
              </w:rPr>
              <w:t>负</w:t>
            </w:r>
            <w:r>
              <w:rPr>
                <w:rFonts w:hint="eastAsia" w:ascii="宋体" w:hAnsi="宋体" w:eastAsia="宋体" w:cs="宋体"/>
                <w:spacing w:val="-8"/>
                <w:sz w:val="23"/>
                <w:szCs w:val="23"/>
              </w:rPr>
              <w:t>责</w:t>
            </w:r>
            <w:r>
              <w:rPr>
                <w:rFonts w:hint="eastAsia" w:ascii="宋体" w:hAnsi="宋体" w:eastAsia="宋体" w:cs="宋体"/>
                <w:spacing w:val="-6"/>
                <w:sz w:val="23"/>
                <w:szCs w:val="23"/>
              </w:rPr>
              <w:t>人：  (签字)</w:t>
            </w:r>
          </w:p>
        </w:tc>
      </w:tr>
      <w:tr w14:paraId="2E5107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425" w:type="dxa"/>
            <w:vAlign w:val="top"/>
          </w:tcPr>
          <w:p w14:paraId="0F5F7D17">
            <w:pPr>
              <w:spacing w:before="38" w:line="231" w:lineRule="auto"/>
              <w:ind w:left="148"/>
              <w:rPr>
                <w:rFonts w:hint="eastAsia" w:ascii="宋体" w:hAnsi="宋体" w:eastAsia="宋体" w:cs="宋体"/>
                <w:sz w:val="23"/>
                <w:szCs w:val="23"/>
              </w:rPr>
            </w:pPr>
            <w:r>
              <w:rPr>
                <w:rFonts w:hint="eastAsia" w:ascii="宋体" w:hAnsi="宋体" w:eastAsia="宋体" w:cs="宋体"/>
                <w:spacing w:val="-9"/>
                <w:sz w:val="23"/>
                <w:szCs w:val="23"/>
              </w:rPr>
              <w:t>电</w:t>
            </w:r>
            <w:r>
              <w:rPr>
                <w:rFonts w:hint="eastAsia" w:ascii="宋体" w:hAnsi="宋体" w:eastAsia="宋体" w:cs="宋体"/>
                <w:spacing w:val="-7"/>
                <w:sz w:val="23"/>
                <w:szCs w:val="23"/>
              </w:rPr>
              <w:t>话：</w:t>
            </w:r>
          </w:p>
        </w:tc>
        <w:tc>
          <w:tcPr>
            <w:tcW w:w="4652" w:type="dxa"/>
            <w:vAlign w:val="top"/>
          </w:tcPr>
          <w:p w14:paraId="7566E1CD">
            <w:pPr>
              <w:spacing w:before="38" w:line="231" w:lineRule="auto"/>
              <w:ind w:left="146"/>
              <w:rPr>
                <w:rFonts w:hint="eastAsia" w:ascii="宋体" w:hAnsi="宋体" w:eastAsia="宋体" w:cs="宋体"/>
                <w:sz w:val="23"/>
                <w:szCs w:val="23"/>
              </w:rPr>
            </w:pPr>
            <w:r>
              <w:rPr>
                <w:rFonts w:hint="eastAsia" w:ascii="宋体" w:hAnsi="宋体" w:eastAsia="宋体" w:cs="宋体"/>
                <w:spacing w:val="-9"/>
                <w:sz w:val="23"/>
                <w:szCs w:val="23"/>
              </w:rPr>
              <w:t>电</w:t>
            </w:r>
            <w:r>
              <w:rPr>
                <w:rFonts w:hint="eastAsia" w:ascii="宋体" w:hAnsi="宋体" w:eastAsia="宋体" w:cs="宋体"/>
                <w:spacing w:val="-7"/>
                <w:sz w:val="23"/>
                <w:szCs w:val="23"/>
              </w:rPr>
              <w:t>话：</w:t>
            </w:r>
          </w:p>
        </w:tc>
      </w:tr>
      <w:tr w14:paraId="35712E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425" w:type="dxa"/>
            <w:vAlign w:val="top"/>
          </w:tcPr>
          <w:p w14:paraId="313E7D7D">
            <w:pPr>
              <w:spacing w:before="39" w:line="231" w:lineRule="auto"/>
              <w:ind w:left="125"/>
              <w:rPr>
                <w:rFonts w:hint="eastAsia" w:ascii="宋体" w:hAnsi="宋体" w:eastAsia="宋体" w:cs="宋体"/>
                <w:sz w:val="23"/>
                <w:szCs w:val="23"/>
              </w:rPr>
            </w:pPr>
            <w:r>
              <w:rPr>
                <w:rFonts w:hint="eastAsia" w:ascii="宋体" w:hAnsi="宋体" w:eastAsia="宋体" w:cs="宋体"/>
                <w:spacing w:val="1"/>
                <w:sz w:val="23"/>
                <w:szCs w:val="23"/>
              </w:rPr>
              <w:t>传</w:t>
            </w:r>
            <w:r>
              <w:rPr>
                <w:rFonts w:hint="eastAsia" w:ascii="宋体" w:hAnsi="宋体" w:eastAsia="宋体" w:cs="宋体"/>
                <w:sz w:val="23"/>
                <w:szCs w:val="23"/>
              </w:rPr>
              <w:t>真：</w:t>
            </w:r>
          </w:p>
        </w:tc>
        <w:tc>
          <w:tcPr>
            <w:tcW w:w="4652" w:type="dxa"/>
            <w:vAlign w:val="top"/>
          </w:tcPr>
          <w:p w14:paraId="0A66AD9D">
            <w:pPr>
              <w:spacing w:before="39" w:line="231" w:lineRule="auto"/>
              <w:ind w:left="123"/>
              <w:rPr>
                <w:rFonts w:hint="eastAsia" w:ascii="宋体" w:hAnsi="宋体" w:eastAsia="宋体" w:cs="宋体"/>
                <w:sz w:val="23"/>
                <w:szCs w:val="23"/>
              </w:rPr>
            </w:pPr>
            <w:r>
              <w:rPr>
                <w:rFonts w:hint="eastAsia" w:ascii="宋体" w:hAnsi="宋体" w:eastAsia="宋体" w:cs="宋体"/>
                <w:spacing w:val="1"/>
                <w:sz w:val="23"/>
                <w:szCs w:val="23"/>
              </w:rPr>
              <w:t>传</w:t>
            </w:r>
            <w:r>
              <w:rPr>
                <w:rFonts w:hint="eastAsia" w:ascii="宋体" w:hAnsi="宋体" w:eastAsia="宋体" w:cs="宋体"/>
                <w:sz w:val="23"/>
                <w:szCs w:val="23"/>
              </w:rPr>
              <w:t>真：</w:t>
            </w:r>
          </w:p>
        </w:tc>
      </w:tr>
      <w:tr w14:paraId="36DD2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425" w:type="dxa"/>
            <w:vAlign w:val="top"/>
          </w:tcPr>
          <w:p w14:paraId="11A0C230">
            <w:pPr>
              <w:rPr>
                <w:rFonts w:hint="eastAsia" w:ascii="宋体" w:hAnsi="宋体" w:eastAsia="宋体" w:cs="宋体"/>
                <w:sz w:val="21"/>
              </w:rPr>
            </w:pPr>
          </w:p>
        </w:tc>
        <w:tc>
          <w:tcPr>
            <w:tcW w:w="4652" w:type="dxa"/>
            <w:vAlign w:val="top"/>
          </w:tcPr>
          <w:p w14:paraId="59E84758">
            <w:pPr>
              <w:spacing w:before="37" w:line="229" w:lineRule="auto"/>
              <w:ind w:left="120"/>
              <w:rPr>
                <w:rFonts w:hint="eastAsia" w:ascii="宋体" w:hAnsi="宋体" w:eastAsia="宋体" w:cs="宋体"/>
                <w:sz w:val="23"/>
                <w:szCs w:val="23"/>
              </w:rPr>
            </w:pPr>
            <w:r>
              <w:rPr>
                <w:rFonts w:hint="eastAsia" w:ascii="宋体" w:hAnsi="宋体" w:eastAsia="宋体" w:cs="宋体"/>
                <w:spacing w:val="5"/>
                <w:sz w:val="23"/>
                <w:szCs w:val="23"/>
              </w:rPr>
              <w:t>开户银行</w:t>
            </w:r>
            <w:r>
              <w:rPr>
                <w:rFonts w:hint="eastAsia" w:ascii="宋体" w:hAnsi="宋体" w:eastAsia="宋体" w:cs="宋体"/>
                <w:spacing w:val="4"/>
                <w:sz w:val="23"/>
                <w:szCs w:val="23"/>
              </w:rPr>
              <w:t>：</w:t>
            </w:r>
          </w:p>
        </w:tc>
      </w:tr>
      <w:tr w14:paraId="1628F0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4425" w:type="dxa"/>
            <w:vAlign w:val="top"/>
          </w:tcPr>
          <w:p w14:paraId="151920E8">
            <w:pPr>
              <w:rPr>
                <w:rFonts w:hint="eastAsia" w:ascii="宋体" w:hAnsi="宋体" w:eastAsia="宋体" w:cs="宋体"/>
                <w:sz w:val="21"/>
              </w:rPr>
            </w:pPr>
          </w:p>
        </w:tc>
        <w:tc>
          <w:tcPr>
            <w:tcW w:w="4652" w:type="dxa"/>
            <w:vAlign w:val="top"/>
          </w:tcPr>
          <w:p w14:paraId="7896F1AA">
            <w:pPr>
              <w:spacing w:before="38" w:line="232" w:lineRule="auto"/>
              <w:ind w:left="117"/>
              <w:rPr>
                <w:rFonts w:hint="eastAsia" w:ascii="宋体" w:hAnsi="宋体" w:eastAsia="宋体" w:cs="宋体"/>
                <w:sz w:val="23"/>
                <w:szCs w:val="23"/>
              </w:rPr>
            </w:pPr>
            <w:r>
              <w:rPr>
                <w:rFonts w:hint="eastAsia" w:ascii="宋体" w:hAnsi="宋体" w:eastAsia="宋体" w:cs="宋体"/>
                <w:spacing w:val="2"/>
                <w:sz w:val="23"/>
                <w:szCs w:val="23"/>
              </w:rPr>
              <w:t>账号：</w:t>
            </w:r>
          </w:p>
        </w:tc>
      </w:tr>
      <w:tr w14:paraId="6DCCCF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4425" w:type="dxa"/>
            <w:vAlign w:val="top"/>
          </w:tcPr>
          <w:p w14:paraId="580A8D1B">
            <w:pPr>
              <w:spacing w:before="40" w:line="231" w:lineRule="auto"/>
              <w:ind w:left="173"/>
              <w:rPr>
                <w:rFonts w:hint="eastAsia" w:ascii="宋体" w:hAnsi="宋体" w:eastAsia="宋体" w:cs="宋体"/>
                <w:sz w:val="23"/>
                <w:szCs w:val="23"/>
              </w:rPr>
            </w:pPr>
            <w:r>
              <w:rPr>
                <w:rFonts w:hint="eastAsia" w:ascii="宋体" w:hAnsi="宋体" w:eastAsia="宋体" w:cs="宋体"/>
                <w:spacing w:val="-4"/>
                <w:sz w:val="23"/>
                <w:szCs w:val="23"/>
              </w:rPr>
              <w:t>日</w:t>
            </w:r>
            <w:r>
              <w:rPr>
                <w:rFonts w:hint="eastAsia" w:ascii="宋体" w:hAnsi="宋体" w:eastAsia="宋体" w:cs="宋体"/>
                <w:spacing w:val="-3"/>
                <w:sz w:val="23"/>
                <w:szCs w:val="23"/>
              </w:rPr>
              <w:t>期</w:t>
            </w:r>
            <w:r>
              <w:rPr>
                <w:rFonts w:hint="eastAsia" w:ascii="宋体" w:hAnsi="宋体" w:eastAsia="宋体" w:cs="宋体"/>
                <w:spacing w:val="-2"/>
                <w:sz w:val="23"/>
                <w:szCs w:val="23"/>
              </w:rPr>
              <w:t>：    年  月  日</w:t>
            </w:r>
          </w:p>
        </w:tc>
        <w:tc>
          <w:tcPr>
            <w:tcW w:w="4652" w:type="dxa"/>
            <w:vAlign w:val="top"/>
          </w:tcPr>
          <w:p w14:paraId="7F171C95">
            <w:pPr>
              <w:spacing w:before="40" w:line="231" w:lineRule="auto"/>
              <w:ind w:left="171"/>
              <w:rPr>
                <w:rFonts w:hint="eastAsia" w:ascii="宋体" w:hAnsi="宋体" w:eastAsia="宋体" w:cs="宋体"/>
                <w:sz w:val="23"/>
                <w:szCs w:val="23"/>
              </w:rPr>
            </w:pPr>
            <w:r>
              <w:rPr>
                <w:rFonts w:hint="eastAsia" w:ascii="宋体" w:hAnsi="宋体" w:eastAsia="宋体" w:cs="宋体"/>
                <w:spacing w:val="-4"/>
                <w:sz w:val="23"/>
                <w:szCs w:val="23"/>
              </w:rPr>
              <w:t>日</w:t>
            </w:r>
            <w:r>
              <w:rPr>
                <w:rFonts w:hint="eastAsia" w:ascii="宋体" w:hAnsi="宋体" w:eastAsia="宋体" w:cs="宋体"/>
                <w:spacing w:val="-2"/>
                <w:sz w:val="23"/>
                <w:szCs w:val="23"/>
              </w:rPr>
              <w:t>期：    年  月  日</w:t>
            </w:r>
          </w:p>
        </w:tc>
      </w:tr>
    </w:tbl>
    <w:p w14:paraId="6004B8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62368B"/>
    <w:rsid w:val="2A623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table" w:customStyle="1" w:styleId="10">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2026-06-24T08:31:00Z</dcterms:created>
  <dc:creator>苍白假面</dc:creator>
  <cp:lastModifiedBy>苍白假面</cp:lastModifiedBy>
  <dcterms:modified xsi:type="dcterms:W3CDTF">2026-06-24T08:32:00Z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57C07EEFB8FF4269B79556266116BD2A_11</vt:lpwstr>
  </property>
  <property fmtid="{D5CDD505-2E9C-101B-9397-08002B2CF9AE}" pid="4" name="KSOTemplateDocerSaveRecord">
    <vt:lpwstr>eyJoZGlkIjoiY2U1ZTlkNThkYmUxMjkwM2M5Y2E1YWM0NWQ1ZjUwMDUiLCJ1c2VySWQiOiIyNzI4NDY5MDUifQ==</vt:lpwstr>
  </property>
</Properties>
</file>