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版本号：HCKPZY-ZB-202605720260708001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地防所地方病防控科普视频制作服务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HCKPZY-ZB-2026057</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地防所地方病防控科普视频制作服务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地防所地方病防控科普视频制作服务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地防所地方病防控科普视频制作服务采购，具体内容详见磋商文件。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采购包1（地防所地方病防控科普视频制作服务）：属于专门面向中小企业采购。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1、有效的主体资格证明：供应商为具备独立承担民事责任能力的法人、其他组织或自然人，并出具合法有效的营业执照或事业单位法人证书等国家规定的相关证明，自然人参与的提供其身份证明书；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审计报告：提供2024或2025年度经审计的财务报告（成立时间至响应文件提交截止时间不足一年的可提供成立后任意时段的资产负债表），或提交自2025年5月1日以来银行出具的资信证明，或信用担保机构出具的投标担保函，或承诺书（以上四种形式的资料提供任何一种即可）；其他组织和自然人提供银行出具的资信证明或财务报表或承诺书；</w:t>
      </w:r>
    </w:p>
    <w:p>
      <w:pPr>
        <w:pStyle w:val="null3"/>
      </w:pPr>
      <w:r>
        <w:rPr>
          <w:rFonts w:ascii="仿宋_GB2312" w:hAnsi="仿宋_GB2312" w:cs="仿宋_GB2312" w:eastAsia="仿宋_GB2312"/>
        </w:rPr>
        <w:t>3、税收缴纳证明：提供响应文件提交截止之日前近六个月内至少一个月的纳税证明或完税证明，依法免税的单位应提供相关证明材料；</w:t>
      </w:r>
    </w:p>
    <w:p>
      <w:pPr>
        <w:pStyle w:val="null3"/>
      </w:pPr>
      <w:r>
        <w:rPr>
          <w:rFonts w:ascii="仿宋_GB2312" w:hAnsi="仿宋_GB2312" w:cs="仿宋_GB2312" w:eastAsia="仿宋_GB2312"/>
        </w:rPr>
        <w:t>4、社会保障资金缴纳证明：提供响应文件提交截止之日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5、履行合同的能力：提供具有履行本合同所必需的设备和专业技术能力的声明；</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w:t>
      </w:r>
    </w:p>
    <w:p>
      <w:pPr>
        <w:pStyle w:val="null3"/>
      </w:pPr>
      <w:r>
        <w:rPr>
          <w:rFonts w:ascii="仿宋_GB2312" w:hAnsi="仿宋_GB2312" w:cs="仿宋_GB2312" w:eastAsia="仿宋_GB2312"/>
        </w:rPr>
        <w:t>7、法定代表人授权书：须提供法定代表人授权书（法定代表人或负责人直接投标，须提交法定代表人证明书）；</w:t>
      </w:r>
    </w:p>
    <w:p>
      <w:pPr>
        <w:pStyle w:val="null3"/>
      </w:pPr>
      <w:r>
        <w:rPr>
          <w:rFonts w:ascii="仿宋_GB2312" w:hAnsi="仿宋_GB2312" w:cs="仿宋_GB2312" w:eastAsia="仿宋_GB2312"/>
        </w:rPr>
        <w:t>8、信用信息：供应商应在信用中国（www.creditchina.gov.cn）未被列入失信被执行人、重大税收违法失信主体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9、关联关系：单位负责人为同一人或存在直接控股、管理关系的不同单位，不得参加同一合同项下的政府采购活动。</w:t>
      </w:r>
    </w:p>
    <w:p>
      <w:pPr>
        <w:pStyle w:val="null3"/>
      </w:pPr>
      <w:r>
        <w:rPr>
          <w:rFonts w:ascii="仿宋_GB2312" w:hAnsi="仿宋_GB2312" w:cs="仿宋_GB2312" w:eastAsia="仿宋_GB2312"/>
        </w:rPr>
        <w:t>10、中小企业声明函：按要求正确填写中小企业声明函</w:t>
      </w:r>
    </w:p>
    <w:p>
      <w:pPr>
        <w:pStyle w:val="null3"/>
      </w:pPr>
      <w:r>
        <w:rPr>
          <w:rFonts w:ascii="仿宋_GB2312" w:hAnsi="仿宋_GB2312" w:cs="仿宋_GB2312" w:eastAsia="仿宋_GB2312"/>
        </w:rPr>
        <w:t>11、非联合体声明：附声明并加盖公章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18691810808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张驰 赵根女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029-85205306 /13772400720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号、发改办价格〔2003〕857号规定，依据发改价格〔2015〕299号文件规定标准计取该项目的招标代理服务费。经双方协商，由成交供应商支付招标代理服务费，发放成交通知书时一次性付清。不足五千按五千元计取。 支付方式：成交供应商应在领取通知书的同时，支付本项目代理服务费。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5%的违约金，给甲方造成损失的，乙方应予以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乙方完成合同约定的全部内容后，应向甲方提交书面的服务成果报告及验收申请。同时向甲方提交项目实施过程中的所有资料,以便甲方日后管理和维护该项目。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联系电话：029-85205306</w:t>
      </w:r>
    </w:p>
    <w:p>
      <w:pPr>
        <w:pStyle w:val="null3"/>
      </w:pPr>
      <w:r>
        <w:rPr>
          <w:rFonts w:ascii="仿宋_GB2312" w:hAnsi="仿宋_GB2312" w:cs="仿宋_GB2312" w:eastAsia="仿宋_GB2312"/>
        </w:rPr>
        <w:t>地址：西安市雁塔区南二环西段成长大厦16楼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地防所地方病防控科普视频制作服务采购，具体内容详见磋商文件。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地防所地方病防控科普视频制作服务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标的名称：地防所地方病防控科普视频制作服务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视频内容：制作六种地方病科普宣传视频，（病种分别）为：大骨节病，克山病，地方性氟中毒，地方性砷中毒，碘缺乏病，水源性高碘；</w:t>
            </w:r>
          </w:p>
          <w:p>
            <w:pPr>
              <w:pStyle w:val="null3"/>
              <w:ind w:firstLine="600"/>
              <w:jc w:val="left"/>
            </w:pPr>
            <w:r>
              <w:rPr>
                <w:rFonts w:ascii="仿宋_GB2312" w:hAnsi="仿宋_GB2312" w:cs="仿宋_GB2312" w:eastAsia="仿宋_GB2312"/>
                <w:sz w:val="21"/>
                <w:color w:val="000000"/>
              </w:rPr>
              <w:t>2、宣传科普</w:t>
            </w:r>
            <w:r>
              <w:rPr>
                <w:rFonts w:ascii="仿宋_GB2312" w:hAnsi="仿宋_GB2312" w:cs="仿宋_GB2312" w:eastAsia="仿宋_GB2312"/>
                <w:sz w:val="21"/>
                <w:color w:val="000000"/>
              </w:rPr>
              <w:t>视频数量及时长：视频制作总数为12条，每个病种为长、短各一条，时长分别为不少于5分钟及不少于1分钟）再配合出六种地方病科普长图一张，图片清晰，不可含有水印。作品体裁</w:t>
            </w:r>
            <w:r>
              <w:rPr>
                <w:rFonts w:ascii="仿宋_GB2312" w:hAnsi="仿宋_GB2312" w:cs="仿宋_GB2312" w:eastAsia="仿宋_GB2312"/>
                <w:sz w:val="21"/>
                <w:color w:val="000000"/>
              </w:rPr>
              <w:t>不限，篇幅不宜过长，格式为JPG、PNG、PDF等</w:t>
            </w:r>
            <w:r>
              <w:rPr>
                <w:rFonts w:ascii="仿宋_GB2312" w:hAnsi="仿宋_GB2312" w:cs="仿宋_GB2312" w:eastAsia="仿宋_GB2312"/>
                <w:sz w:val="21"/>
                <w:color w:val="000000"/>
              </w:rPr>
              <w:t>。</w:t>
            </w:r>
          </w:p>
          <w:p>
            <w:pPr>
              <w:pStyle w:val="null3"/>
              <w:ind w:firstLine="60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表现形式：以MG动画演示手段，以生动形象的方式呈现内容，扁平风格、主题突出，增强观看节目的吸引力和观赏性。MG动画根据具体内容需要进行设计，保证内容为原创设计，如涉及复杂流程、抽象概念等场景，要确保动画风格与整体协调统一。</w:t>
            </w:r>
            <w:r>
              <w:rPr>
                <w:rFonts w:ascii="仿宋_GB2312" w:hAnsi="仿宋_GB2312" w:cs="仿宋_GB2312" w:eastAsia="仿宋_GB2312"/>
                <w:sz w:val="21"/>
                <w:color w:val="000000"/>
              </w:rPr>
              <w:t>（</w:t>
            </w:r>
            <w:r>
              <w:rPr>
                <w:rFonts w:ascii="仿宋_GB2312" w:hAnsi="仿宋_GB2312" w:cs="仿宋_GB2312" w:eastAsia="仿宋_GB2312"/>
                <w:sz w:val="21"/>
                <w:color w:val="000000"/>
              </w:rPr>
              <w:t>整体动画背景、道具、人物服饰中自然融入陕西省各病区对应的黄土高原、秦岭山区、关中平原等典型地貌及民居、生活用具等当地元素</w:t>
            </w:r>
            <w:r>
              <w:rPr>
                <w:rFonts w:ascii="仿宋_GB2312" w:hAnsi="仿宋_GB2312" w:cs="仿宋_GB2312" w:eastAsia="仿宋_GB2312"/>
                <w:sz w:val="21"/>
                <w:color w:val="000000"/>
              </w:rPr>
              <w:t>）</w:t>
            </w:r>
          </w:p>
          <w:p>
            <w:pPr>
              <w:pStyle w:val="null3"/>
              <w:ind w:firstLine="600"/>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创意策划：中标方需组建由专业技术人员组成的专业的创意制作团队，在深入了解、熟悉地方病医学背景和科普核心内容后向甲方提交制作方案。应包含且不限于详细的镜头设计、画面描述、台词对白、音乐音效等内容，方案需通过招标方审核通过后方可制作，最终作品质量需保证完全符合</w:t>
            </w:r>
            <w:r>
              <w:rPr>
                <w:rFonts w:ascii="仿宋_GB2312" w:hAnsi="仿宋_GB2312" w:cs="仿宋_GB2312" w:eastAsia="仿宋_GB2312"/>
                <w:sz w:val="21"/>
                <w:color w:val="000000"/>
              </w:rPr>
              <w:t>审核通过</w:t>
            </w:r>
            <w:r>
              <w:rPr>
                <w:rFonts w:ascii="仿宋_GB2312" w:hAnsi="仿宋_GB2312" w:cs="仿宋_GB2312" w:eastAsia="仿宋_GB2312"/>
                <w:sz w:val="21"/>
                <w:color w:val="000000"/>
              </w:rPr>
              <w:t>的制作方案内容直至招标方满意。</w:t>
            </w:r>
            <w:r>
              <w:rPr>
                <w:rFonts w:ascii="仿宋_GB2312" w:hAnsi="仿宋_GB2312" w:cs="仿宋_GB2312" w:eastAsia="仿宋_GB2312"/>
                <w:sz w:val="21"/>
                <w:color w:val="000000"/>
              </w:rPr>
              <w:t>方案中需明确</w:t>
            </w:r>
            <w:r>
              <w:rPr>
                <w:rFonts w:ascii="仿宋_GB2312" w:hAnsi="仿宋_GB2312" w:cs="仿宋_GB2312" w:eastAsia="仿宋_GB2312"/>
                <w:sz w:val="21"/>
                <w:color w:val="000000"/>
              </w:rPr>
              <w:t>每个病种视频所融入的陕西省具体当地元素及其表现形式，如陕西省病区地图定位、陕北窑洞/陕南民居背景、代表性生活道具、地域服饰元素等</w:t>
            </w:r>
          </w:p>
          <w:p>
            <w:pPr>
              <w:pStyle w:val="null3"/>
              <w:ind w:firstLine="600"/>
              <w:jc w:val="left"/>
            </w:pPr>
            <w:r>
              <w:rPr>
                <w:rFonts w:ascii="仿宋_GB2312" w:hAnsi="仿宋_GB2312" w:cs="仿宋_GB2312" w:eastAsia="仿宋_GB2312"/>
                <w:sz w:val="21"/>
                <w:color w:val="000000"/>
              </w:rPr>
              <w:t>5、配音：配音尽量要求真人原声，不允许使用电子合成音、效果要求清晰、真实、富有情感，与节目整体风格相匹配，确保声音质量无杂音、失真等问题。</w:t>
            </w:r>
          </w:p>
          <w:p>
            <w:pPr>
              <w:pStyle w:val="null3"/>
              <w:ind w:firstLine="600"/>
              <w:jc w:val="left"/>
            </w:pPr>
            <w:r>
              <w:rPr>
                <w:rFonts w:ascii="仿宋_GB2312" w:hAnsi="仿宋_GB2312" w:cs="仿宋_GB2312" w:eastAsia="仿宋_GB2312"/>
                <w:sz w:val="21"/>
                <w:color w:val="000000"/>
              </w:rPr>
              <w:t>6、字幕制作：视频需配有实时字幕，要求字体大小适中、优美、准确添加清晰、准确的中文字幕，字体、字号、颜色和位置与画面协调统一，符合观众观看习惯。字幕排版要考虑画面信息分布，避免遮挡重要内容，同时对字幕出现的时间进行精细调整。</w:t>
            </w:r>
          </w:p>
          <w:p>
            <w:pPr>
              <w:pStyle w:val="null3"/>
              <w:ind w:firstLine="600"/>
              <w:jc w:val="left"/>
            </w:pPr>
            <w:r>
              <w:rPr>
                <w:rFonts w:ascii="仿宋_GB2312" w:hAnsi="仿宋_GB2312" w:cs="仿宋_GB2312" w:eastAsia="仿宋_GB2312"/>
                <w:sz w:val="21"/>
                <w:color w:val="000000"/>
              </w:rPr>
              <w:t>7、音频处理：对节目整体音频进行混音处理，包括背景音乐、音效、配音等，确保音频平衡、清晰，无爆音、杂音等问题。背景音乐要根据节目情节和氛围的推进进行选择或创作，音效要丰富逼真，增强视频的真实感和沉浸感。</w:t>
            </w:r>
          </w:p>
          <w:p>
            <w:pPr>
              <w:pStyle w:val="null3"/>
              <w:ind w:firstLine="600"/>
              <w:jc w:val="left"/>
            </w:pPr>
            <w:r>
              <w:rPr>
                <w:rFonts w:ascii="仿宋_GB2312" w:hAnsi="仿宋_GB2312" w:cs="仿宋_GB2312" w:eastAsia="仿宋_GB2312"/>
                <w:sz w:val="21"/>
                <w:color w:val="000000"/>
              </w:rPr>
              <w:t>8、交付格式：制作中可接收MP4、MOV、MP3等格式素材，终版节目须以MP4格式交付，并满足16:9画面比例、2K（1440p，即2560×1440）分辨率及30fps帧率要求。</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9、样片： 于磋商截⽌时间前将样片（载体U盘1份，注明单位名称）邮寄⾄陕西省西安市碑林区西安市碑林区南⼆环西段 58号成⻓⼤厦16楼1622室，张⼥⼠13772400720。逾期收到视为未提供样片。</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自合同签订之日起，两个月内递交视频成果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陕西省疾病预防控制中心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进度款，本项目合同签订之后付，达到付款条件起15个工作日内，支付合同总金额的80.0%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进度款，履行完合同规定内容验收合格后，达到付款条件起15个工作日内，支付合同总金额的20.0%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供应商在领取中标通知书前向代理机构提供纸质版磋商响应⽂件（磋商响应⽂件必须与在陕西省政府采购综合管理平台的项⽬电⼦化交易系统中递交的电⼦响应⽂件内容⼀致），磋商响应⽂件为正本⼀份，副本⼆份，电⼦U盘⼆个（U盘内容包括Word版本、签字盖章扫描后的PDF版本响应⽂件）。纸质响应⽂件均须A4纸打印，分别各⾃装订成册并编制⽬录和⻚码。 3、本项⽬所属⾏业为：软件和信息技术服务业。 4、供应商的投标报价是供应商响应项⽬要求的全部⼯作内容的价格体现，包括但不限于供应商完成本项⽬的⼈⼯费、服务费、管理费、验收费、资料费、采购代理服务费、利润和税费；在提供服务的过程中的任何遗漏，均由成交供应商免费提供，采购⼈将不再⽀付任何费⽤。 5、如磋商⽂件中融资相关内容与新政策要求有出⼊，按照最新要求执⾏。 6、因本项⽬采购内容为服务，故不涉及采购产品认证证书等。故磋商⽂件中所要求有关采购产品认证证书以及产品品牌等描述及要求⽆需提供和响应。 7、各供应商根据⾃⾝情况选择⼀个或多个采购包参与磋商，但只能作为其中⼀个采购包的第⼀成交候选⼈，⼰在先评审的采购包中成为第⼀成交候选⼈的供应商，将不再参与后续采购包的第⼀成交候选⼈推荐，由后续候选⼈顺位递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供应商为具备独立承担民事责任能力的法人、其他组织或自然人，并出具合法有效的营业执照或事业单位法人证书等国家规定的相关证明，自然人参与的提供其身份证明书；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或2025年度经审计的财务报告（成立时间至响应文件提交截止时间不足一年的可提供成立后任意时段的资产负债表），或提交自2025年5月1日以来银行出具的资信证明，或信用担保机构出具的投标担保函，或承诺书（以上四种形式的资料提供任何一种即可）；其他组织和自然人提供银行出具的资信证明或财务报表或承诺书；</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提供响应文件提交截止之日前近六个月内至少一个月的纳税证明或完税证明，依法免税的单位应提供相关证明材料；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提供响应文件提交截止之日前近六个月内至少一个月的社会保障资金缴存单据或社保机构开具的社会保险参保缴费情况证明，依法不需要缴纳社会保障资金的单位应提供相关证明材料；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失信被执行人、重大税收违法失信主体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特殊资格审查证明文件.docx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按要求正确填写中小企业声明函</w:t>
            </w:r>
          </w:p>
        </w:tc>
        <w:tc>
          <w:tcPr>
            <w:tcW w:type="dxa" w:w="1661"/>
          </w:tcPr>
          <w:p>
            <w:pPr>
              <w:pStyle w:val="null3"/>
            </w:pPr>
            <w:r>
              <w:rPr>
                <w:rFonts w:ascii="仿宋_GB2312" w:hAnsi="仿宋_GB2312" w:cs="仿宋_GB2312" w:eastAsia="仿宋_GB2312"/>
              </w:rPr>
              <w:t>中小企业声明函 特殊资格审查证明文件.docx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附声明并加盖公章</w:t>
            </w:r>
          </w:p>
        </w:tc>
        <w:tc>
          <w:tcPr>
            <w:tcW w:type="dxa" w:w="1661"/>
          </w:tcPr>
          <w:p>
            <w:pPr>
              <w:pStyle w:val="null3"/>
            </w:pPr>
            <w:r>
              <w:rPr>
                <w:rFonts w:ascii="仿宋_GB2312" w:hAnsi="仿宋_GB2312" w:cs="仿宋_GB2312" w:eastAsia="仿宋_GB2312"/>
              </w:rPr>
              <w:t>特殊资格审查证明文件.docx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1.政府采购评审中出现下列情形之⼀的，磋商⼩组应当启动异常低价投标（响应）审查程序：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4.磋商⼩组基于专业判断，认为供应商报价过低，有可能影响产品质量或者不能诚信履约的其他情形。 采购⼈可以结合具体项⽬实际情况，提⾼上述第1项⾄第3项中启动异常低价投标（响应）审查的数值 标准，但是最⾼不得超过65%。 磋商⼩组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磋商⼩组依据专业经验，参考同类项⽬中标（成交）价格、类似产品市场价格⽔平、⾏业⼈⼯费⽤标准、国家有关部⻔指导⾏业协会发布的⾏业平均成本等情况，对报价合理性进⾏判断。投标（响应）供应商不能提供书⾯说明、证明材料，或者提供的书⾯说明、证明材料不能证明其报价合理性的，磋商⼩组应当将其作为⽆效投标（响应）处理。 采购⼈、采购代理机构应当为磋商⼩组在评审现场及时获取同类项⽬中标（成交）价格、类似产品市场价格⽔平、⾏业⼈⼯费⽤标准、国家有关部⻔指导⾏业协会发布的⾏业平均成本等相关信息资料提供便利。评审委员会借助互联⽹等渠道查询相关信息的，应当严格遵守评审⼯作纪律，不得实施影响评审公正的⾏为。 异常低价投标（响应）审查的启动原因、审查意⻅和审查结果应当在评审报告中记录，并随供应商提供的相关书⾯说明及证明材料，以及磋商⼩组有关互联⽹浏览、查询历史⼀并归档。 供应商不能证明其报价合理性的，磋商⼩组应当将其响应⽂件作为⽆效处理。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业绩一览表.docx 中小企业声明函 商务应答表 一般资格审查证明文件.docx 供应商应提交的相关资格证明材料 服务内容及服务要求应答表 设备清单.docx 响应文件封面 需要补充的内容.docx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商务应答表 一般资格审查证明文件.docx 供应商应提交的相关资格证明材料 服务内容及服务要求应答表 响应文件封面 设备清单.docx 需要补充的内容.docx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磋商响应文件内容齐全、无遗漏</w:t>
            </w:r>
          </w:p>
        </w:tc>
        <w:tc>
          <w:tcPr>
            <w:tcW w:type="dxa" w:w="3322"/>
          </w:tcPr>
          <w:p>
            <w:pPr>
              <w:pStyle w:val="null3"/>
            </w:pPr>
            <w:r>
              <w:rPr>
                <w:rFonts w:ascii="仿宋_GB2312" w:hAnsi="仿宋_GB2312" w:cs="仿宋_GB2312" w:eastAsia="仿宋_GB2312"/>
              </w:rPr>
              <w:t>要求全面响应，不能有任何采购人不能接受的重大负偏离或不能接受的附加条件</w:t>
            </w:r>
          </w:p>
        </w:tc>
        <w:tc>
          <w:tcPr>
            <w:tcW w:type="dxa" w:w="1661"/>
          </w:tcPr>
          <w:p>
            <w:pPr>
              <w:pStyle w:val="null3"/>
            </w:pPr>
            <w:r>
              <w:rPr>
                <w:rFonts w:ascii="仿宋_GB2312" w:hAnsi="仿宋_GB2312" w:cs="仿宋_GB2312" w:eastAsia="仿宋_GB2312"/>
              </w:rPr>
              <w:t>业绩一览表.docx 中小企业声明函 商务应答表 一般资格审查证明文件.docx 供应商应提交的相关资格证明材料 服务内容及服务要求应答表 响应文件封面 设备清单.docx 需要补充的内容.docx 残疾人福利性单位声明函 服务方案 标的清单 响应函 监狱企业的证明文件 特殊资格审查证明文件.docx 人员清单.docx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应满足磋商文件中要求的商务要求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1.供应商提供2020年1月1日至今类似项目业绩（以合同签订日期为准），每提供一份有效业绩得3分，最高得9分。 2.若有提供市县级卫健科普动画项目业绩，得3分，最多3分。 注：业绩证明材料以加盖供应商公章的合同扫描件为准。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专业团队人员资质配置</w:t>
            </w:r>
          </w:p>
        </w:tc>
        <w:tc>
          <w:tcPr>
            <w:tcW w:type="dxa" w:w="2492"/>
          </w:tcPr>
          <w:p>
            <w:pPr>
              <w:pStyle w:val="null3"/>
            </w:pPr>
            <w:r>
              <w:rPr>
                <w:rFonts w:ascii="仿宋_GB2312" w:hAnsi="仿宋_GB2312" w:cs="仿宋_GB2312" w:eastAsia="仿宋_GB2312"/>
              </w:rPr>
              <w:t>1.项目负责人： ①传媒专业本科学历得2分，本科以上学历得3分； ②传媒专业相关专业中级职称得2分，中级以上职称得3分； ③具备 5 年以上从业经验，得 3 分，不足5年得1分； 2.医学科普编审人员： ①配备具备公共卫生、地方病相关专业医师或疾控专业人员，提供相关专业证书得 3 分；不提供不得分； 3.MG 动画主创设计师 ： ①均为传媒专业专业本科学历得2分； ②： 1.团队＞3⼈（不含项⽬负责⼈），均为相关专业：得3分； 2.团队 2-3 ⼈，半数及以上为相关专业：得2分； 3.团队＜2 ⼈，不得分； 4.行业获奖/奖励证书 提供行业获奖/奖励证书，每提供一个得2分，共4分 证明材料： ①需提供⾝份证及学历证复印件（加盖公章）； ②职称证复印件（加盖公章）； ③获奖证书证明材料；④项⽬负责⼈岗位/经验证明 提供过往参与的类似项⽬合同（可与企业业绩重复），合同中应明确体现项⽬名称、服务内容（包含动画、科普视频等字样）、合同签订时间及能体现为所提供合同的项⽬负责⼈⾝份的证明材料。磋商小组根据合同时间跨度合计来核算从业年限。</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人员清单.docx</w:t>
            </w:r>
          </w:p>
        </w:tc>
      </w:tr>
      <w:tr>
        <w:tc>
          <w:tcPr>
            <w:tcW w:type="dxa" w:w="831"/>
            <w:vMerge/>
          </w:tcPr>
          <w:p/>
        </w:tc>
        <w:tc>
          <w:tcPr>
            <w:tcW w:type="dxa" w:w="1661"/>
          </w:tcPr>
          <w:p>
            <w:pPr>
              <w:pStyle w:val="null3"/>
            </w:pPr>
            <w:r>
              <w:rPr>
                <w:rFonts w:ascii="仿宋_GB2312" w:hAnsi="仿宋_GB2312" w:cs="仿宋_GB2312" w:eastAsia="仿宋_GB2312"/>
              </w:rPr>
              <w:t>原创版权与交付标准响应</w:t>
            </w:r>
          </w:p>
        </w:tc>
        <w:tc>
          <w:tcPr>
            <w:tcW w:type="dxa" w:w="2492"/>
          </w:tcPr>
          <w:p>
            <w:pPr>
              <w:pStyle w:val="null3"/>
            </w:pPr>
            <w:r>
              <w:rPr>
                <w:rFonts w:ascii="仿宋_GB2312" w:hAnsi="仿宋_GB2312" w:cs="仿宋_GB2312" w:eastAsia="仿宋_GB2312"/>
              </w:rPr>
              <w:t>1.承诺全部动画、长图作品原创，无抄袭、无水印，承诺交付完整源文件、版权无争议，得 1 分； 2.完全响应采购交付参数：2K（2560×1440）、16:9、30fps MP4、长图支持 JPG/PNG/PDF 全格式，全部满足得 1分； 3.提供明确响应措施，得2分。 仅提供承诺，未提供明确响应措施此项不得分。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音频配音硬件与服务资质</w:t>
            </w:r>
          </w:p>
        </w:tc>
        <w:tc>
          <w:tcPr>
            <w:tcW w:type="dxa" w:w="2492"/>
          </w:tcPr>
          <w:p>
            <w:pPr>
              <w:pStyle w:val="null3"/>
            </w:pPr>
            <w:r>
              <w:rPr>
                <w:rFonts w:ascii="仿宋_GB2312" w:hAnsi="仿宋_GB2312" w:cs="仿宋_GB2312" w:eastAsia="仿宋_GB2312"/>
              </w:rPr>
              <w:t>1.有固定场地得3分，附带有具体面积的产权证明复印件（如果是租赁的，附租赁合同复印件），未提供不得分； 2.供应商自有传媒类相关设备，视频类、音频类、剪辑类设备，每类得1分，共3分，（附购买凭证或购买发票)，未提供不得分； 3.承诺全部真人原声配音、无电子合成音，附过往真人配音样片得 3分； 仅承诺无样片，不得分。 样片画面声音需能正常播放观看，否则此项不得分。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设备清单.docx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项目售后及质保服务</w:t>
            </w:r>
          </w:p>
        </w:tc>
        <w:tc>
          <w:tcPr>
            <w:tcW w:type="dxa" w:w="2492"/>
          </w:tcPr>
          <w:p>
            <w:pPr>
              <w:pStyle w:val="null3"/>
            </w:pPr>
            <w:r>
              <w:rPr>
                <w:rFonts w:ascii="仿宋_GB2312" w:hAnsi="仿宋_GB2312" w:cs="仿宋_GB2312" w:eastAsia="仿宋_GB2312"/>
              </w:rPr>
              <w:t>1.承诺成品质保期≥2 年，期间免费修改调整镜头、字幕、配图，质保 1 年，得1 分；不足 1 年 不得分； 2.设立专属项目对接人，承诺 7×12 小时响应、3 个工作日内完成修改交付，得 1 分； 3.提供明确服务方案，得2分。 4.仅提供承诺，未提供明确服务方案此项不得分。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整体创意策划方案完整性</w:t>
            </w:r>
          </w:p>
        </w:tc>
        <w:tc>
          <w:tcPr>
            <w:tcW w:type="dxa" w:w="2492"/>
          </w:tcPr>
          <w:p>
            <w:pPr>
              <w:pStyle w:val="null3"/>
            </w:pPr>
            <w:r>
              <w:rPr>
                <w:rFonts w:ascii="仿宋_GB2312" w:hAnsi="仿宋_GB2312" w:cs="仿宋_GB2312" w:eastAsia="仿宋_GB2312"/>
              </w:rPr>
              <w:t>供应商针对本项目采购内容及项目实际情况，提供合理的项目整体实施方案。 方案完整包含镜头分镜、画面描述、完整台词、背景音乐音效规划、全 6 类病种方案；医学科普逻辑严谨，无常识漏洞，完全贴合地方病宣传需求。 方案各部分内容全面详细、阐述条理清晰详尽、符合本项目采购需求得10分；方案内容中有缺陷的（缺陷是指以下情形：①内容描述过于简单②条理不清晰③与项目内容不匹配或不适用于本项目④凭空编造⑤出现常识性错误⑥不可能实现的夸大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陕西地域元素融合设计方案</w:t>
            </w:r>
          </w:p>
        </w:tc>
        <w:tc>
          <w:tcPr>
            <w:tcW w:type="dxa" w:w="2492"/>
          </w:tcPr>
          <w:p>
            <w:pPr>
              <w:pStyle w:val="null3"/>
            </w:pPr>
            <w:r>
              <w:rPr>
                <w:rFonts w:ascii="仿宋_GB2312" w:hAnsi="仿宋_GB2312" w:cs="仿宋_GB2312" w:eastAsia="仿宋_GB2312"/>
              </w:rPr>
              <w:t>对 6 类病种对应陕西陕北黄土高原窑洞、秦岭陕南民居、关中平原地貌、本地生活器具、地域服饰、病区地图定位均做专项设计说明，动画场景、道具、背景自然融入，每种病区分开细化设计，落地性强。 方案各部分内容全面详细、阐述条理清晰详尽、符合本项目采购需求得10分；方案内容中有缺陷的（缺陷是指以下情形：①内容描述过于简单②条理不清晰③与项目内容不匹配或不适用于本项目④凭空编造⑤出现常识性错误⑥不可能实现的夸大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MG 动画视觉与长图设计思路</w:t>
            </w:r>
          </w:p>
        </w:tc>
        <w:tc>
          <w:tcPr>
            <w:tcW w:type="dxa" w:w="2492"/>
          </w:tcPr>
          <w:p>
            <w:pPr>
              <w:pStyle w:val="null3"/>
            </w:pPr>
            <w:r>
              <w:rPr>
                <w:rFonts w:ascii="仿宋_GB2312" w:hAnsi="仿宋_GB2312" w:cs="仿宋_GB2312" w:eastAsia="仿宋_GB2312"/>
              </w:rPr>
              <w:t>扁平 MG 动画风格统一，针对抽象地方病发病原理、致病流程设计可视化动画方案；科普长图版式清晰、分层科普，图文搭配合理，画面简洁易懂，适配全年龄段群众观看。 方案各部分内容全面详细、阐述条理清晰详尽、符合本项目采购需求得10分；方案内容中有缺陷的（缺陷是指以下情形：①内容描述过于简单②条理不清晰③与项目内容不匹配或不适用于本项目④凭空编造⑤出现常识性错误⑥不可能实现的夸大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配音、字幕、音频混音实施方案</w:t>
            </w:r>
          </w:p>
        </w:tc>
        <w:tc>
          <w:tcPr>
            <w:tcW w:type="dxa" w:w="2492"/>
          </w:tcPr>
          <w:p>
            <w:pPr>
              <w:pStyle w:val="null3"/>
            </w:pPr>
            <w:r>
              <w:rPr>
                <w:rFonts w:ascii="仿宋_GB2312" w:hAnsi="仿宋_GB2312" w:cs="仿宋_GB2312" w:eastAsia="仿宋_GB2312"/>
              </w:rPr>
              <w:t>真人配音演员选型规划、情绪匹配设计完整；字幕字号、配色、位置、时长校准方案详细；背景音乐分场景定制、音效清单、混音降噪、防爆音处理方案齐全。 方案各部分内容全面详细、阐述条理清晰详尽、符合本项目采购需求得10分；方案内容中有缺陷的（缺陷是指以下情形：①内容描述过于简单②条理不清晰③与项目内容不匹配或不适用于本项目④凭空编造⑤出现常识性错误⑥不可能实现的夸大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投标报价得分=（评标基准价/投标报价）×价格权值（即10%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详见附件：一般资格审查证明文件.docx</w:t>
      </w:r>
    </w:p>
    <w:p>
      <w:pPr>
        <w:pStyle w:val="null3"/>
        <w:ind w:firstLine="960"/>
      </w:pPr>
      <w:r>
        <w:rPr>
          <w:rFonts w:ascii="仿宋_GB2312" w:hAnsi="仿宋_GB2312" w:cs="仿宋_GB2312" w:eastAsia="仿宋_GB2312"/>
        </w:rPr>
        <w:t>详见附件：特殊资格审查证明文件.docx</w:t>
      </w:r>
    </w:p>
    <w:p>
      <w:pPr>
        <w:pStyle w:val="null3"/>
        <w:ind w:firstLine="960"/>
      </w:pPr>
      <w:r>
        <w:rPr>
          <w:rFonts w:ascii="仿宋_GB2312" w:hAnsi="仿宋_GB2312" w:cs="仿宋_GB2312" w:eastAsia="仿宋_GB2312"/>
        </w:rPr>
        <w:t>详见附件：人员清单.docx</w:t>
      </w:r>
    </w:p>
    <w:p>
      <w:pPr>
        <w:pStyle w:val="null3"/>
        <w:ind w:firstLine="960"/>
      </w:pPr>
      <w:r>
        <w:rPr>
          <w:rFonts w:ascii="仿宋_GB2312" w:hAnsi="仿宋_GB2312" w:cs="仿宋_GB2312" w:eastAsia="仿宋_GB2312"/>
        </w:rPr>
        <w:t>详见附件：设备清单.docx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详见附件：需要补充的内容.docx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