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56EBB">
      <w:pPr>
        <w:spacing w:before="114" w:line="231" w:lineRule="auto"/>
        <w:ind w:left="0" w:leftChars="0" w:firstLine="0" w:firstLineChars="0"/>
        <w:jc w:val="center"/>
        <w:rPr>
          <w:rFonts w:hint="eastAsia" w:eastAsia="楷体"/>
          <w:color w:val="000000" w:themeColor="text1"/>
          <w:highlight w:val="none"/>
          <w:lang w:val="en-US" w:eastAsia="zh-CN"/>
          <w14:textFill>
            <w14:solidFill>
              <w14:schemeClr w14:val="tx1"/>
            </w14:solidFill>
          </w14:textFill>
        </w:rPr>
        <w:sectPr>
          <w:headerReference r:id="rId5" w:type="default"/>
          <w:footerReference r:id="rId6" w:type="default"/>
          <w:pgSz w:w="11906" w:h="16839"/>
          <w:pgMar w:top="1440" w:right="1803" w:bottom="1440" w:left="1803" w:header="882" w:footer="895" w:gutter="0"/>
          <w:pgNumType w:fmt="decimal" w:start="1"/>
          <w:cols w:space="720" w:num="1"/>
        </w:sectPr>
      </w:pPr>
      <w:r>
        <w:rPr>
          <w:rFonts w:ascii="楷体" w:hAnsi="楷体" w:eastAsia="楷体" w:cs="楷体"/>
          <w:color w:val="000000" w:themeColor="text1"/>
          <w:spacing w:val="31"/>
          <w:sz w:val="35"/>
          <w:szCs w:val="35"/>
          <w:highlight w:val="none"/>
          <w14:textFill>
            <w14:solidFill>
              <w14:schemeClr w14:val="tx1"/>
            </w14:solidFill>
          </w14:textFill>
        </w:rPr>
        <w:t>(示范</w:t>
      </w:r>
      <w:r>
        <w:rPr>
          <w:rFonts w:hint="eastAsia" w:ascii="楷体" w:hAnsi="楷体" w:eastAsia="楷体" w:cs="楷体"/>
          <w:color w:val="000000" w:themeColor="text1"/>
          <w:spacing w:val="31"/>
          <w:sz w:val="35"/>
          <w:szCs w:val="35"/>
          <w:highlight w:val="none"/>
          <w:lang w:val="en-US" w:eastAsia="zh-CN"/>
          <w14:textFill>
            <w14:solidFill>
              <w14:schemeClr w14:val="tx1"/>
            </w14:solidFill>
          </w14:textFill>
        </w:rPr>
        <w:t>文本）</w:t>
      </w:r>
    </w:p>
    <w:p w14:paraId="48552C6D">
      <w:pPr>
        <w:jc w:val="center"/>
        <w:rPr>
          <w:rFonts w:hint="eastAsia" w:ascii="仿宋" w:hAnsi="仿宋" w:eastAsia="仿宋" w:cs="仿宋"/>
          <w:color w:val="000000" w:themeColor="text1"/>
          <w:sz w:val="22"/>
          <w:highlight w:val="none"/>
          <w:u w:val="single"/>
          <w14:textFill>
            <w14:solidFill>
              <w14:schemeClr w14:val="tx1"/>
            </w14:solidFill>
          </w14:textFill>
        </w:rPr>
      </w:pPr>
      <w:r>
        <w:rPr>
          <w:rFonts w:hint="eastAsia" w:ascii="仿宋" w:hAnsi="仿宋" w:eastAsia="仿宋" w:cs="仿宋"/>
          <w:color w:val="000000" w:themeColor="text1"/>
          <w:sz w:val="22"/>
          <w:highlight w:val="none"/>
          <w:u w:val="single"/>
          <w14:textFill>
            <w14:solidFill>
              <w14:schemeClr w14:val="tx1"/>
            </w14:solidFill>
          </w14:textFill>
        </w:rPr>
        <w:t>（本部分合同格式为中标后，签订采购合同时参考使用文本）</w:t>
      </w:r>
    </w:p>
    <w:p w14:paraId="03E442F2">
      <w:pPr>
        <w:rPr>
          <w:rFonts w:hint="eastAsia" w:ascii="仿宋" w:hAnsi="仿宋" w:eastAsia="仿宋" w:cs="仿宋"/>
          <w:color w:val="000000" w:themeColor="text1"/>
          <w:sz w:val="22"/>
          <w:highlight w:val="none"/>
          <w14:textFill>
            <w14:solidFill>
              <w14:schemeClr w14:val="tx1"/>
            </w14:solidFill>
          </w14:textFill>
        </w:rPr>
      </w:pPr>
    </w:p>
    <w:p w14:paraId="247CAB5D">
      <w:pPr>
        <w:spacing w:line="360" w:lineRule="auto"/>
        <w:ind w:firstLine="482" w:firstLineChars="200"/>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甲方：</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采购人</w:t>
      </w:r>
      <w:r>
        <w:rPr>
          <w:rFonts w:hint="eastAsia" w:ascii="仿宋" w:hAnsi="仿宋" w:eastAsia="仿宋" w:cs="仿宋"/>
          <w:color w:val="000000" w:themeColor="text1"/>
          <w:sz w:val="20"/>
          <w:szCs w:val="20"/>
          <w:highlight w:val="none"/>
          <w:u w:val="single"/>
          <w14:textFill>
            <w14:solidFill>
              <w14:schemeClr w14:val="tx1"/>
            </w14:solidFill>
          </w14:textFill>
        </w:rPr>
        <w:t>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3FF35F0D">
      <w:pPr>
        <w:spacing w:line="360" w:lineRule="auto"/>
        <w:ind w:firstLine="482" w:firstLineChars="200"/>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乙方：</w:t>
      </w:r>
      <w:r>
        <w:rPr>
          <w:rFonts w:hint="eastAsia" w:ascii="仿宋" w:hAnsi="仿宋" w:eastAsia="仿宋" w:cs="仿宋"/>
          <w:color w:val="000000" w:themeColor="text1"/>
          <w:sz w:val="24"/>
          <w:szCs w:val="24"/>
          <w:highlight w:val="none"/>
          <w:u w:val="single"/>
          <w14:textFill>
            <w14:solidFill>
              <w14:schemeClr w14:val="tx1"/>
            </w14:solidFill>
          </w14:textFill>
        </w:rPr>
        <w:t xml:space="preserve">     中标人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64C3515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u w:val="single"/>
          <w:lang w:val="en-US" w:eastAsia="zh-CN"/>
          <w14:textFill>
            <w14:solidFill>
              <w14:schemeClr w14:val="tx1"/>
            </w14:solidFill>
          </w14:textFill>
        </w:rPr>
        <w:t>地防所地方病防控科普视频制作服务项目</w:t>
      </w:r>
      <w:r>
        <w:rPr>
          <w:rFonts w:hint="eastAsia" w:ascii="仿宋" w:hAnsi="仿宋" w:eastAsia="仿宋" w:cs="仿宋"/>
          <w:bCs/>
          <w:color w:val="000000" w:themeColor="text1"/>
          <w:sz w:val="24"/>
          <w:szCs w:val="24"/>
          <w:highlight w:val="none"/>
          <w:u w:val="single"/>
          <w14:textFill>
            <w14:solidFill>
              <w14:schemeClr w14:val="tx1"/>
            </w14:solidFill>
          </w14:textFill>
        </w:rPr>
        <w:t>(项目编号</w:t>
      </w:r>
      <w:r>
        <w:rPr>
          <w:rFonts w:hint="eastAsia" w:ascii="仿宋" w:hAnsi="仿宋" w:eastAsia="仿宋" w:cs="仿宋"/>
          <w:bCs/>
          <w:color w:val="000000" w:themeColor="text1"/>
          <w:sz w:val="24"/>
          <w:szCs w:val="24"/>
          <w:highlight w:val="none"/>
          <w:u w:val="single"/>
          <w:lang w:eastAsia="zh-CN"/>
          <w14:textFill>
            <w14:solidFill>
              <w14:schemeClr w14:val="tx1"/>
            </w14:solidFill>
          </w14:textFill>
        </w:rPr>
        <w:t>：HCKPZY-ZB-20260</w:t>
      </w:r>
      <w:r>
        <w:rPr>
          <w:rFonts w:hint="eastAsia" w:ascii="仿宋" w:hAnsi="仿宋" w:eastAsia="仿宋" w:cs="仿宋"/>
          <w:bCs/>
          <w:color w:val="000000" w:themeColor="text1"/>
          <w:sz w:val="24"/>
          <w:szCs w:val="24"/>
          <w:highlight w:val="none"/>
          <w:u w:val="single"/>
          <w:lang w:val="en-US" w:eastAsia="zh-CN"/>
          <w14:textFill>
            <w14:solidFill>
              <w14:schemeClr w14:val="tx1"/>
            </w14:solidFill>
          </w14:textFill>
        </w:rPr>
        <w:t>57</w:t>
      </w:r>
      <w:r>
        <w:rPr>
          <w:rFonts w:hint="eastAsia" w:ascii="仿宋" w:hAnsi="仿宋" w:eastAsia="仿宋" w:cs="仿宋"/>
          <w:bCs/>
          <w:color w:val="000000" w:themeColor="text1"/>
          <w:sz w:val="24"/>
          <w:szCs w:val="24"/>
          <w:highlight w:val="none"/>
          <w:u w:val="single"/>
          <w14:textFill>
            <w14:solidFill>
              <w14:schemeClr w14:val="tx1"/>
            </w14:solidFill>
          </w14:textFill>
        </w:rPr>
        <w:t>)</w:t>
      </w:r>
      <w:r>
        <w:rPr>
          <w:rFonts w:hint="eastAsia" w:ascii="仿宋" w:hAnsi="仿宋" w:eastAsia="仿宋" w:cs="仿宋"/>
          <w:bCs/>
          <w:color w:val="000000" w:themeColor="text1"/>
          <w:sz w:val="24"/>
          <w:szCs w:val="24"/>
          <w:highlight w:val="none"/>
          <w14:textFill>
            <w14:solidFill>
              <w14:schemeClr w14:val="tx1"/>
            </w14:solidFill>
          </w14:textFill>
        </w:rPr>
        <w:t>由</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Cs/>
          <w:color w:val="000000" w:themeColor="text1"/>
          <w:sz w:val="24"/>
          <w:szCs w:val="24"/>
          <w:highlight w:val="none"/>
          <w:u w:val="single"/>
          <w:lang w:val="en-US" w:eastAsia="zh-CN"/>
          <w14:textFill>
            <w14:solidFill>
              <w14:schemeClr w14:val="tx1"/>
            </w14:solidFill>
          </w14:textFill>
        </w:rPr>
        <w:t xml:space="preserve"> 华春建设工程项目管理有限责任公司  </w:t>
      </w:r>
      <w:r>
        <w:rPr>
          <w:rFonts w:hint="eastAsia" w:ascii="仿宋" w:hAnsi="仿宋" w:eastAsia="仿宋" w:cs="仿宋"/>
          <w:bCs/>
          <w:color w:val="000000" w:themeColor="text1"/>
          <w:sz w:val="24"/>
          <w:szCs w:val="24"/>
          <w:highlight w:val="none"/>
          <w14:textFill>
            <w14:solidFill>
              <w14:schemeClr w14:val="tx1"/>
            </w14:solidFill>
          </w14:textFill>
        </w:rPr>
        <w:t>组织</w:t>
      </w:r>
      <w:r>
        <w:rPr>
          <w:rFonts w:hint="eastAsia" w:ascii="仿宋" w:hAnsi="仿宋" w:eastAsia="仿宋" w:cs="仿宋"/>
          <w:bCs/>
          <w:color w:val="000000" w:themeColor="text1"/>
          <w:sz w:val="24"/>
          <w:szCs w:val="24"/>
          <w:highlight w:val="none"/>
          <w:lang w:eastAsia="zh-CN"/>
          <w14:textFill>
            <w14:solidFill>
              <w14:schemeClr w14:val="tx1"/>
            </w14:solidFill>
          </w14:textFill>
        </w:rPr>
        <w:t>公开招标</w:t>
      </w:r>
      <w:r>
        <w:rPr>
          <w:rFonts w:hint="eastAsia" w:ascii="仿宋" w:hAnsi="仿宋" w:eastAsia="仿宋" w:cs="仿宋"/>
          <w:bCs/>
          <w:color w:val="000000" w:themeColor="text1"/>
          <w:sz w:val="24"/>
          <w:szCs w:val="24"/>
          <w:highlight w:val="none"/>
          <w14:textFill>
            <w14:solidFill>
              <w14:schemeClr w14:val="tx1"/>
            </w14:solidFill>
          </w14:textFill>
        </w:rPr>
        <w:t>，</w:t>
      </w:r>
      <w:r>
        <w:rPr>
          <w:rFonts w:hint="eastAsia" w:ascii="仿宋" w:hAnsi="仿宋" w:eastAsia="仿宋" w:cs="仿宋"/>
          <w:bCs/>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采购人</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4"/>
          <w:szCs w:val="24"/>
          <w:highlight w:val="none"/>
          <w14:textFill>
            <w14:solidFill>
              <w14:schemeClr w14:val="tx1"/>
            </w14:solidFill>
          </w14:textFill>
        </w:rPr>
        <w:t>(以下简称“甲方”)确定</w:t>
      </w:r>
      <w:r>
        <w:rPr>
          <w:rFonts w:hint="eastAsia" w:ascii="仿宋" w:hAnsi="仿宋" w:eastAsia="仿宋" w:cs="仿宋"/>
          <w:bCs/>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Cs/>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中标人 </w:t>
      </w:r>
      <w:r>
        <w:rPr>
          <w:rFonts w:hint="eastAsia" w:ascii="仿宋" w:hAnsi="仿宋" w:eastAsia="仿宋" w:cs="仿宋"/>
          <w:bCs/>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bCs/>
          <w:color w:val="000000" w:themeColor="text1"/>
          <w:sz w:val="24"/>
          <w:szCs w:val="24"/>
          <w:highlight w:val="none"/>
          <w14:textFill>
            <w14:solidFill>
              <w14:schemeClr w14:val="tx1"/>
            </w14:solidFill>
          </w14:textFill>
        </w:rPr>
        <w:t>（以下简称“乙方”）为本项目中标人。</w:t>
      </w:r>
    </w:p>
    <w:p w14:paraId="4BBA2B45">
      <w:pPr>
        <w:autoSpaceDE w:val="0"/>
        <w:autoSpaceDN w:val="0"/>
        <w:adjustRightInd w:val="0"/>
        <w:snapToGrid w:val="0"/>
        <w:spacing w:line="360" w:lineRule="auto"/>
        <w:ind w:firstLine="480" w:firstLineChars="200"/>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依据《中华人民共和国</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民法典</w:t>
      </w:r>
      <w:r>
        <w:rPr>
          <w:rFonts w:hint="eastAsia" w:ascii="仿宋" w:hAnsi="仿宋" w:eastAsia="仿宋" w:cs="仿宋"/>
          <w:bCs/>
          <w:color w:val="000000" w:themeColor="text1"/>
          <w:sz w:val="24"/>
          <w:szCs w:val="24"/>
          <w:highlight w:val="none"/>
          <w14:textFill>
            <w14:solidFill>
              <w14:schemeClr w14:val="tx1"/>
            </w14:solidFill>
          </w14:textFill>
        </w:rPr>
        <w:t>》和《中华人民共和国政府采购法》之规定，经双方在平等、自愿、互利的基础上，签订本合同，共同信守。</w:t>
      </w:r>
    </w:p>
    <w:p w14:paraId="435281D8">
      <w:pPr>
        <w:numPr>
          <w:ilvl w:val="0"/>
          <w:numId w:val="1"/>
        </w:numPr>
        <w:autoSpaceDE w:val="0"/>
        <w:autoSpaceDN w:val="0"/>
        <w:adjustRightInd w:val="0"/>
        <w:snapToGrid w:val="0"/>
        <w:spacing w:line="360" w:lineRule="auto"/>
        <w:ind w:firstLine="482" w:firstLineChars="200"/>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服务内容</w:t>
      </w:r>
    </w:p>
    <w:p w14:paraId="13C870CB">
      <w:pPr>
        <w:autoSpaceDE w:val="0"/>
        <w:autoSpaceDN w:val="0"/>
        <w:adjustRightInd w:val="0"/>
        <w:snapToGrid w:val="0"/>
        <w:spacing w:line="360" w:lineRule="auto"/>
        <w:ind w:firstLine="480" w:firstLineChars="200"/>
        <w:rPr>
          <w:rFonts w:hint="eastAsia" w:ascii="仿宋" w:hAnsi="仿宋" w:eastAsia="仿宋" w:cs="仿宋"/>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Cs/>
          <w:color w:val="000000" w:themeColor="text1"/>
          <w:sz w:val="24"/>
          <w:szCs w:val="24"/>
          <w:highlight w:val="none"/>
          <w:lang w:val="en-US" w:eastAsia="zh-CN"/>
          <w14:textFill>
            <w14:solidFill>
              <w14:schemeClr w14:val="tx1"/>
            </w14:solidFill>
          </w14:textFill>
        </w:rPr>
        <w:t>制作六种地方病科普宣传视频，整体动画背景、道具、人物服饰中自然融入陕西省各病区对应的黄土高原、秦岭山区、关中平原等典型地貌及民居、生活用具等当地元素，包含且不限于详细的镜头设计、画面描述、台词对白、音乐音效等内容。</w:t>
      </w:r>
    </w:p>
    <w:p w14:paraId="4D3661CC">
      <w:pPr>
        <w:autoSpaceDE w:val="0"/>
        <w:autoSpaceDN w:val="0"/>
        <w:adjustRightInd w:val="0"/>
        <w:snapToGrid w:val="0"/>
        <w:spacing w:line="360" w:lineRule="auto"/>
        <w:ind w:firstLine="482" w:firstLineChars="200"/>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二、</w:t>
      </w:r>
      <w:r>
        <w:rPr>
          <w:rFonts w:hint="eastAsia" w:ascii="仿宋" w:hAnsi="仿宋" w:eastAsia="仿宋" w:cs="仿宋"/>
          <w:b/>
          <w:bCs/>
          <w:color w:val="000000" w:themeColor="text1"/>
          <w:sz w:val="24"/>
          <w:szCs w:val="24"/>
          <w:highlight w:val="none"/>
          <w14:textFill>
            <w14:solidFill>
              <w14:schemeClr w14:val="tx1"/>
            </w14:solidFill>
          </w14:textFill>
        </w:rPr>
        <w:t>合同价款</w:t>
      </w:r>
    </w:p>
    <w:p w14:paraId="12CE9E29">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22" w:leftChars="9" w:firstLine="540" w:firstLineChars="225"/>
        <w:jc w:val="left"/>
        <w:textAlignment w:val="auto"/>
        <w:rPr>
          <w:rFonts w:hint="eastAsia" w:ascii="仿宋" w:hAnsi="仿宋" w:eastAsia="仿宋" w:cs="仿宋"/>
          <w:color w:val="000000" w:themeColor="text1"/>
          <w:kern w:val="0"/>
          <w:sz w:val="24"/>
          <w:szCs w:val="24"/>
          <w:highlight w:val="none"/>
          <w:shd w:val="clear" w:color="auto" w:fill="auto"/>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（一）甲</w:t>
      </w:r>
      <w:r>
        <w:rPr>
          <w:rFonts w:hint="eastAsia" w:ascii="仿宋" w:hAnsi="仿宋" w:eastAsia="仿宋" w:cs="仿宋"/>
          <w:color w:val="000000" w:themeColor="text1"/>
          <w:kern w:val="0"/>
          <w:sz w:val="24"/>
          <w:szCs w:val="24"/>
          <w:highlight w:val="none"/>
          <w:shd w:val="clear" w:color="auto" w:fill="auto"/>
          <w:lang w:val="en-US" w:eastAsia="zh-CN"/>
          <w14:textFill>
            <w14:solidFill>
              <w14:schemeClr w14:val="tx1"/>
            </w14:solidFill>
          </w14:textFill>
        </w:rPr>
        <w:t>方通过公开竞争性磋商招标方式，接受了乙方以总金额 大写</w:t>
      </w:r>
      <w:r>
        <w:rPr>
          <w:rFonts w:hint="eastAsia" w:ascii="仿宋" w:hAnsi="仿宋" w:eastAsia="仿宋" w:cs="仿宋"/>
          <w:color w:val="000000" w:themeColor="text1"/>
          <w:kern w:val="0"/>
          <w:sz w:val="24"/>
          <w:szCs w:val="24"/>
          <w:highlight w:val="none"/>
          <w:u w:val="single"/>
          <w:shd w:val="clear" w:color="auto" w:fill="auto"/>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shd w:val="clear" w:color="auto" w:fill="auto"/>
          <w:lang w:val="en-US" w:eastAsia="zh-CN"/>
          <w14:textFill>
            <w14:solidFill>
              <w14:schemeClr w14:val="tx1"/>
            </w14:solidFill>
          </w14:textFill>
        </w:rPr>
        <w:t xml:space="preserve">（￥小写 </w:t>
      </w:r>
      <w:r>
        <w:rPr>
          <w:rFonts w:hint="eastAsia" w:ascii="仿宋" w:hAnsi="仿宋" w:eastAsia="仿宋" w:cs="仿宋"/>
          <w:color w:val="000000" w:themeColor="text1"/>
          <w:kern w:val="0"/>
          <w:sz w:val="24"/>
          <w:szCs w:val="24"/>
          <w:highlight w:val="none"/>
          <w:u w:val="single"/>
          <w:shd w:val="clear" w:color="auto" w:fill="auto"/>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shd w:val="clear" w:color="auto" w:fill="auto"/>
          <w:lang w:val="en-US" w:eastAsia="zh-CN"/>
          <w14:textFill>
            <w14:solidFill>
              <w14:schemeClr w14:val="tx1"/>
            </w14:solidFill>
          </w14:textFill>
        </w:rPr>
        <w:t>） （以下简称“合同价”)提供合同条款附件所述货物和服务。</w:t>
      </w:r>
    </w:p>
    <w:p w14:paraId="61B5F9DE">
      <w:pPr>
        <w:numPr>
          <w:ilvl w:val="0"/>
          <w:numId w:val="0"/>
        </w:numPr>
        <w:autoSpaceDE w:val="0"/>
        <w:autoSpaceDN w:val="0"/>
        <w:adjustRightInd w:val="0"/>
        <w:snapToGrid w:val="0"/>
        <w:spacing w:line="360" w:lineRule="auto"/>
        <w:ind w:firstLine="480" w:firstLineChars="2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（二）</w:t>
      </w:r>
      <w:r>
        <w:rPr>
          <w:rFonts w:hint="eastAsia" w:ascii="仿宋" w:hAnsi="仿宋" w:eastAsia="仿宋" w:cs="仿宋"/>
          <w:color w:val="000000" w:themeColor="text1"/>
          <w:kern w:val="0"/>
          <w:sz w:val="24"/>
          <w:szCs w:val="24"/>
          <w:highlight w:val="none"/>
          <w14:textFill>
            <w14:solidFill>
              <w14:schemeClr w14:val="tx1"/>
            </w14:solidFill>
          </w14:textFill>
        </w:rPr>
        <w:t>服务报酬中包括为完成服务内容可能发生的各项费用，</w:t>
      </w:r>
      <w:r>
        <w:rPr>
          <w:rFonts w:hint="eastAsia" w:ascii="仿宋" w:hAnsi="仿宋" w:eastAsia="仿宋" w:cs="仿宋"/>
          <w:color w:val="000000" w:themeColor="text1"/>
          <w:kern w:val="0"/>
          <w:sz w:val="24"/>
          <w:szCs w:val="24"/>
          <w:highlight w:val="none"/>
          <w:lang w:eastAsia="zh-CN"/>
          <w14:textFill>
            <w14:solidFill>
              <w14:schemeClr w14:val="tx1"/>
            </w14:solidFill>
          </w14:textFill>
        </w:rPr>
        <w:t>包括但不限于</w:t>
      </w:r>
      <w:r>
        <w:rPr>
          <w:rFonts w:hint="eastAsia" w:ascii="仿宋" w:hAnsi="仿宋" w:eastAsia="仿宋" w:cs="仿宋"/>
          <w:color w:val="000000" w:themeColor="text1"/>
          <w:sz w:val="24"/>
          <w:szCs w:val="24"/>
          <w:highlight w:val="none"/>
          <w14:textFill>
            <w14:solidFill>
              <w14:schemeClr w14:val="tx1"/>
            </w14:solidFill>
          </w14:textFill>
        </w:rPr>
        <w:t>人工费、</w:t>
      </w:r>
      <w:r>
        <w:rPr>
          <w:rFonts w:hint="eastAsia" w:ascii="仿宋" w:hAnsi="仿宋" w:eastAsia="仿宋" w:cs="仿宋"/>
          <w:color w:val="000000" w:themeColor="text1"/>
          <w:sz w:val="24"/>
          <w:szCs w:val="24"/>
          <w:highlight w:val="none"/>
          <w:lang w:eastAsia="zh-CN"/>
          <w14:textFill>
            <w14:solidFill>
              <w14:schemeClr w14:val="tx1"/>
            </w14:solidFill>
          </w14:textFill>
        </w:rPr>
        <w:t>车辆</w:t>
      </w:r>
      <w:r>
        <w:rPr>
          <w:rFonts w:hint="eastAsia" w:ascii="仿宋" w:hAnsi="仿宋" w:eastAsia="仿宋" w:cs="仿宋"/>
          <w:color w:val="000000" w:themeColor="text1"/>
          <w:sz w:val="24"/>
          <w:szCs w:val="24"/>
          <w:highlight w:val="none"/>
          <w14:textFill>
            <w14:solidFill>
              <w14:schemeClr w14:val="tx1"/>
            </w14:solidFill>
          </w14:textFill>
        </w:rPr>
        <w:t>交通费、住宿费、管理费、</w:t>
      </w:r>
      <w:r>
        <w:rPr>
          <w:rFonts w:hint="eastAsia" w:ascii="仿宋" w:hAnsi="仿宋" w:eastAsia="仿宋" w:cs="仿宋"/>
          <w:color w:val="000000" w:themeColor="text1"/>
          <w:sz w:val="24"/>
          <w:szCs w:val="24"/>
          <w:highlight w:val="none"/>
          <w:lang w:val="en-US" w:eastAsia="zh-CN"/>
          <w14:textFill>
            <w14:solidFill>
              <w14:schemeClr w14:val="tx1"/>
            </w14:solidFill>
          </w14:textFill>
        </w:rPr>
        <w:t>办公、</w:t>
      </w:r>
      <w:r>
        <w:rPr>
          <w:rFonts w:hint="eastAsia" w:ascii="仿宋" w:hAnsi="仿宋" w:eastAsia="仿宋" w:cs="仿宋"/>
          <w:color w:val="000000" w:themeColor="text1"/>
          <w:sz w:val="24"/>
          <w:szCs w:val="24"/>
          <w:highlight w:val="none"/>
          <w:lang w:eastAsia="zh-CN"/>
          <w14:textFill>
            <w14:solidFill>
              <w14:schemeClr w14:val="tx1"/>
            </w14:solidFill>
          </w14:textFill>
        </w:rPr>
        <w:t>人员人身相关保险费、</w:t>
      </w:r>
      <w:r>
        <w:rPr>
          <w:rFonts w:hint="eastAsia" w:ascii="仿宋" w:hAnsi="仿宋" w:eastAsia="仿宋" w:cs="仿宋"/>
          <w:color w:val="000000" w:themeColor="text1"/>
          <w:sz w:val="24"/>
          <w:szCs w:val="24"/>
          <w:highlight w:val="none"/>
          <w14:textFill>
            <w14:solidFill>
              <w14:schemeClr w14:val="tx1"/>
            </w14:solidFill>
          </w14:textFill>
        </w:rPr>
        <w:t>项目实施费用以及国家按现行税率征收的一切税费</w:t>
      </w:r>
      <w:r>
        <w:rPr>
          <w:rFonts w:hint="eastAsia" w:ascii="仿宋" w:hAnsi="仿宋" w:eastAsia="仿宋" w:cs="仿宋"/>
          <w:color w:val="000000" w:themeColor="text1"/>
          <w:sz w:val="24"/>
          <w:szCs w:val="24"/>
          <w:highlight w:val="none"/>
          <w:lang w:eastAsia="zh-CN"/>
          <w14:textFill>
            <w14:solidFill>
              <w14:schemeClr w14:val="tx1"/>
            </w14:solidFill>
          </w14:textFill>
        </w:rPr>
        <w:t>、不可抗力因素的可预见和不可预见费用</w:t>
      </w:r>
      <w:r>
        <w:rPr>
          <w:rFonts w:hint="eastAsia" w:ascii="仿宋" w:hAnsi="仿宋" w:eastAsia="仿宋" w:cs="仿宋"/>
          <w:color w:val="000000" w:themeColor="text1"/>
          <w:sz w:val="24"/>
          <w:szCs w:val="24"/>
          <w:highlight w:val="none"/>
          <w:lang w:val="en-US" w:eastAsia="zh-CN"/>
          <w14:textFill>
            <w14:solidFill>
              <w14:schemeClr w14:val="tx1"/>
            </w14:solidFill>
          </w14:textFill>
        </w:rPr>
        <w:t>等</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331D8CA6">
      <w:pPr>
        <w:numPr>
          <w:ilvl w:val="0"/>
          <w:numId w:val="0"/>
        </w:numPr>
        <w:autoSpaceDE w:val="0"/>
        <w:autoSpaceDN w:val="0"/>
        <w:adjustRightInd w:val="0"/>
        <w:snapToGrid w:val="0"/>
        <w:spacing w:line="360" w:lineRule="auto"/>
        <w:ind w:firstLine="480" w:firstLineChars="200"/>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（三）</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合同总价一次包死，不受市场价格、工作量变化等其它因素的影响。</w:t>
      </w:r>
    </w:p>
    <w:p w14:paraId="2ECDBDEB">
      <w:pPr>
        <w:autoSpaceDE w:val="0"/>
        <w:autoSpaceDN w:val="0"/>
        <w:adjustRightInd w:val="0"/>
        <w:spacing w:line="360" w:lineRule="auto"/>
        <w:ind w:firstLine="482" w:firstLineChars="200"/>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三、</w:t>
      </w:r>
      <w:r>
        <w:rPr>
          <w:rFonts w:hint="eastAsia" w:ascii="仿宋" w:hAnsi="仿宋" w:eastAsia="仿宋" w:cs="仿宋"/>
          <w:b/>
          <w:bCs/>
          <w:color w:val="000000" w:themeColor="text1"/>
          <w:sz w:val="24"/>
          <w:szCs w:val="24"/>
          <w:highlight w:val="none"/>
          <w14:textFill>
            <w14:solidFill>
              <w14:schemeClr w14:val="tx1"/>
            </w14:solidFill>
          </w14:textFill>
        </w:rPr>
        <w:t>款项结算</w:t>
      </w:r>
    </w:p>
    <w:p w14:paraId="7F5CF27C">
      <w:pPr>
        <w:autoSpaceDE w:val="0"/>
        <w:autoSpaceDN w:val="0"/>
        <w:adjustRightInd w:val="0"/>
        <w:spacing w:line="360" w:lineRule="auto"/>
        <w:ind w:firstLine="480" w:firstLineChars="200"/>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bCs/>
          <w:color w:val="000000" w:themeColor="text1"/>
          <w:sz w:val="24"/>
          <w:szCs w:val="24"/>
          <w:highlight w:val="none"/>
          <w:lang w:eastAsia="zh-CN"/>
          <w14:textFill>
            <w14:solidFill>
              <w14:schemeClr w14:val="tx1"/>
            </w14:solidFill>
          </w14:textFill>
        </w:rPr>
        <w:t>（</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一</w:t>
      </w:r>
      <w:r>
        <w:rPr>
          <w:rFonts w:hint="eastAsia" w:ascii="仿宋" w:hAnsi="仿宋" w:eastAsia="仿宋" w:cs="仿宋"/>
          <w:bCs/>
          <w:color w:val="000000" w:themeColor="text1"/>
          <w:sz w:val="24"/>
          <w:szCs w:val="24"/>
          <w:highlight w:val="none"/>
          <w:lang w:eastAsia="zh-CN"/>
          <w14:textFill>
            <w14:solidFill>
              <w14:schemeClr w14:val="tx1"/>
            </w14:solidFill>
          </w14:textFill>
        </w:rPr>
        <w:t>）</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本项目合同签订之后付合同总价的80%，履行完合同规定内容验收合格后付剩余20%。</w:t>
      </w:r>
    </w:p>
    <w:p w14:paraId="50A5D473">
      <w:pPr>
        <w:autoSpaceDE w:val="0"/>
        <w:autoSpaceDN w:val="0"/>
        <w:adjustRightInd w:val="0"/>
        <w:spacing w:line="360" w:lineRule="auto"/>
        <w:ind w:firstLine="480" w:firstLineChars="200"/>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二</w:t>
      </w:r>
      <w:r>
        <w:rPr>
          <w:rFonts w:hint="eastAsia" w:ascii="仿宋" w:hAnsi="仿宋" w:eastAsia="仿宋" w:cs="仿宋"/>
          <w:bCs/>
          <w:color w:val="000000" w:themeColor="text1"/>
          <w:sz w:val="24"/>
          <w:szCs w:val="24"/>
          <w:highlight w:val="none"/>
          <w14:textFill>
            <w14:solidFill>
              <w14:schemeClr w14:val="tx1"/>
            </w14:solidFill>
          </w14:textFill>
        </w:rPr>
        <w:t>）款项支付：</w:t>
      </w:r>
      <w:r>
        <w:rPr>
          <w:rFonts w:hint="eastAsia" w:ascii="仿宋" w:hAnsi="仿宋" w:eastAsia="仿宋" w:cs="仿宋"/>
          <w:bCs/>
          <w:color w:val="000000" w:themeColor="text1"/>
          <w:sz w:val="24"/>
          <w:szCs w:val="24"/>
          <w:highlight w:val="none"/>
          <w:lang w:eastAsia="zh-CN"/>
          <w14:textFill>
            <w14:solidFill>
              <w14:schemeClr w14:val="tx1"/>
            </w14:solidFill>
          </w14:textFill>
        </w:rPr>
        <w:t>以甲方最终签订的合同为准</w:t>
      </w:r>
      <w:r>
        <w:rPr>
          <w:rFonts w:hint="eastAsia" w:ascii="仿宋" w:hAnsi="仿宋" w:eastAsia="仿宋" w:cs="仿宋"/>
          <w:bCs/>
          <w:color w:val="000000" w:themeColor="text1"/>
          <w:sz w:val="24"/>
          <w:szCs w:val="24"/>
          <w:highlight w:val="none"/>
          <w14:textFill>
            <w14:solidFill>
              <w14:schemeClr w14:val="tx1"/>
            </w14:solidFill>
          </w14:textFill>
        </w:rPr>
        <w:t>。</w:t>
      </w:r>
    </w:p>
    <w:p w14:paraId="7202B287">
      <w:pPr>
        <w:autoSpaceDE w:val="0"/>
        <w:autoSpaceDN w:val="0"/>
        <w:adjustRightInd w:val="0"/>
        <w:spacing w:line="360" w:lineRule="auto"/>
        <w:ind w:firstLine="480" w:firstLineChars="200"/>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三</w:t>
      </w:r>
      <w:r>
        <w:rPr>
          <w:rFonts w:hint="eastAsia" w:ascii="仿宋" w:hAnsi="仿宋" w:eastAsia="仿宋" w:cs="仿宋"/>
          <w:bCs/>
          <w:color w:val="000000" w:themeColor="text1"/>
          <w:sz w:val="24"/>
          <w:szCs w:val="24"/>
          <w:highlight w:val="none"/>
          <w14:textFill>
            <w14:solidFill>
              <w14:schemeClr w14:val="tx1"/>
            </w14:solidFill>
          </w14:textFill>
        </w:rPr>
        <w:t>）支付方式：银行转账。</w:t>
      </w:r>
    </w:p>
    <w:p w14:paraId="5FE15489">
      <w:pPr>
        <w:autoSpaceDE w:val="0"/>
        <w:autoSpaceDN w:val="0"/>
        <w:adjustRightInd w:val="0"/>
        <w:spacing w:line="360" w:lineRule="auto"/>
        <w:ind w:left="971" w:leftChars="304" w:hanging="241" w:hangingChars="100"/>
        <w:rPr>
          <w:rFonts w:hint="eastAsia" w:ascii="仿宋" w:hAnsi="仿宋" w:eastAsia="仿宋" w:cs="仿宋"/>
          <w:b/>
          <w:bCs/>
          <w:color w:val="000000" w:themeColor="text1"/>
          <w:sz w:val="24"/>
          <w:szCs w:val="24"/>
          <w:highlight w:val="none"/>
          <w:lang w:eastAsia="zh-CN"/>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四、</w:t>
      </w:r>
      <w:r>
        <w:rPr>
          <w:rFonts w:hint="eastAsia" w:ascii="仿宋" w:hAnsi="仿宋" w:eastAsia="仿宋" w:cs="仿宋"/>
          <w:b/>
          <w:color w:val="000000" w:themeColor="text1"/>
          <w:sz w:val="24"/>
          <w:szCs w:val="24"/>
          <w:highlight w:val="none"/>
          <w:lang w:val="zh-CN"/>
          <w14:textFill>
            <w14:solidFill>
              <w14:schemeClr w14:val="tx1"/>
            </w14:solidFill>
          </w14:textFill>
        </w:rPr>
        <w:t>服务</w:t>
      </w:r>
      <w:r>
        <w:rPr>
          <w:rFonts w:hint="eastAsia" w:ascii="仿宋" w:hAnsi="仿宋" w:eastAsia="仿宋" w:cs="仿宋"/>
          <w:b/>
          <w:color w:val="000000" w:themeColor="text1"/>
          <w:sz w:val="24"/>
          <w:szCs w:val="24"/>
          <w:highlight w:val="none"/>
          <w:lang w:val="en-US" w:eastAsia="zh-CN"/>
          <w14:textFill>
            <w14:solidFill>
              <w14:schemeClr w14:val="tx1"/>
            </w14:solidFill>
          </w14:textFill>
        </w:rPr>
        <w:t>条件</w:t>
      </w:r>
    </w:p>
    <w:p w14:paraId="78401AC5">
      <w:pPr>
        <w:tabs>
          <w:tab w:val="left" w:pos="7665"/>
        </w:tabs>
        <w:adjustRightInd w:val="0"/>
        <w:snapToGrid w:val="0"/>
        <w:spacing w:beforeLines="0" w:afterLines="0" w:line="360" w:lineRule="auto"/>
        <w:ind w:firstLine="480" w:firstLineChars="200"/>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zh-CN" w:eastAsia="zh-CN"/>
          <w14:textFill>
            <w14:solidFill>
              <w14:schemeClr w14:val="tx1"/>
            </w14:solidFill>
          </w14:textFill>
        </w:rPr>
        <w:t>（一）服务地点：陕西省疾病预防控制中心</w:t>
      </w:r>
    </w:p>
    <w:p w14:paraId="38486AEA">
      <w:pPr>
        <w:tabs>
          <w:tab w:val="left" w:pos="7665"/>
        </w:tabs>
        <w:adjustRightInd w:val="0"/>
        <w:snapToGrid w:val="0"/>
        <w:spacing w:beforeLines="0" w:afterLines="0" w:line="360" w:lineRule="auto"/>
        <w:ind w:firstLine="480" w:firstLineChars="200"/>
        <w:rPr>
          <w:rFonts w:hint="eastAsia" w:ascii="仿宋" w:hAnsi="仿宋" w:eastAsia="仿宋" w:cs="仿宋"/>
          <w:color w:val="000000" w:themeColor="text1"/>
          <w:sz w:val="24"/>
          <w:szCs w:val="24"/>
          <w:highlight w:val="none"/>
          <w:lang w:val="zh-CN" w:eastAsia="zh-CN"/>
          <w14:textFill>
            <w14:solidFill>
              <w14:schemeClr w14:val="tx1"/>
            </w14:solidFill>
          </w14:textFill>
        </w:rPr>
      </w:pPr>
      <w:r>
        <w:rPr>
          <w:rFonts w:hint="eastAsia" w:ascii="仿宋" w:hAnsi="仿宋" w:eastAsia="仿宋" w:cs="仿宋"/>
          <w:color w:val="000000" w:themeColor="text1"/>
          <w:sz w:val="24"/>
          <w:szCs w:val="24"/>
          <w:highlight w:val="none"/>
          <w:lang w:val="zh-CN" w:eastAsia="zh-CN"/>
          <w14:textFill>
            <w14:solidFill>
              <w14:schemeClr w14:val="tx1"/>
            </w14:solidFill>
          </w14:textFill>
        </w:rPr>
        <w:t>（二）</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val="zh-CN" w:eastAsia="zh-CN"/>
          <w14:textFill>
            <w14:solidFill>
              <w14:schemeClr w14:val="tx1"/>
            </w14:solidFill>
          </w14:textFill>
        </w:rPr>
        <w:t>服务期：自合同签订之日起，两个月内递交视频成果</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p>
    <w:p w14:paraId="0C959012">
      <w:pPr>
        <w:tabs>
          <w:tab w:val="left" w:pos="7665"/>
        </w:tabs>
        <w:adjustRightInd w:val="0"/>
        <w:snapToGrid w:val="0"/>
        <w:spacing w:beforeLines="0" w:afterLines="0" w:line="360" w:lineRule="auto"/>
        <w:ind w:firstLine="480" w:firstLineChars="200"/>
        <w:rPr>
          <w:rFonts w:hint="eastAsia" w:ascii="仿宋" w:hAnsi="仿宋" w:eastAsia="仿宋" w:cs="仿宋"/>
          <w:color w:val="000000" w:themeColor="text1"/>
          <w:sz w:val="18"/>
          <w:szCs w:val="20"/>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（三）</w:t>
      </w:r>
      <w:r>
        <w:rPr>
          <w:rFonts w:hint="eastAsia" w:ascii="仿宋" w:hAnsi="仿宋" w:eastAsia="仿宋" w:cs="仿宋"/>
          <w:color w:val="000000" w:themeColor="text1"/>
          <w:kern w:val="0"/>
          <w:sz w:val="24"/>
          <w:szCs w:val="24"/>
          <w:highlight w:val="none"/>
          <w:lang w:eastAsia="zh-CN"/>
          <w14:textFill>
            <w14:solidFill>
              <w14:schemeClr w14:val="tx1"/>
            </w14:solidFill>
          </w14:textFill>
        </w:rPr>
        <w:t>乙方</w:t>
      </w:r>
      <w:r>
        <w:rPr>
          <w:rFonts w:hint="eastAsia" w:ascii="仿宋" w:hAnsi="仿宋" w:eastAsia="仿宋" w:cs="仿宋"/>
          <w:color w:val="000000" w:themeColor="text1"/>
          <w:kern w:val="0"/>
          <w:sz w:val="24"/>
          <w:szCs w:val="24"/>
          <w:highlight w:val="none"/>
          <w14:textFill>
            <w14:solidFill>
              <w14:schemeClr w14:val="tx1"/>
            </w14:solidFill>
          </w14:textFill>
        </w:rPr>
        <w:t>指派的项目</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负责人</w:t>
      </w:r>
      <w:r>
        <w:rPr>
          <w:rFonts w:hint="eastAsia" w:ascii="仿宋" w:hAnsi="仿宋" w:eastAsia="仿宋" w:cs="仿宋"/>
          <w:color w:val="000000" w:themeColor="text1"/>
          <w:kern w:val="0"/>
          <w:sz w:val="24"/>
          <w:szCs w:val="24"/>
          <w:highlight w:val="none"/>
          <w14:textFill>
            <w14:solidFill>
              <w14:schemeClr w14:val="tx1"/>
            </w14:solidFill>
          </w14:textFill>
        </w:rPr>
        <w:t>为</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szCs w:val="24"/>
          <w:highlight w:val="none"/>
          <w14:textFill>
            <w14:solidFill>
              <w14:schemeClr w14:val="tx1"/>
            </w14:solidFill>
          </w14:textFill>
        </w:rPr>
        <w:t>，性别</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szCs w:val="24"/>
          <w:highlight w:val="none"/>
          <w14:textFill>
            <w14:solidFill>
              <w14:schemeClr w14:val="tx1"/>
            </w14:solidFill>
          </w14:textFill>
        </w:rPr>
        <w:t>，身份证号</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szCs w:val="24"/>
          <w:highlight w:val="none"/>
          <w14:textFill>
            <w14:solidFill>
              <w14:schemeClr w14:val="tx1"/>
            </w14:solidFill>
          </w14:textFill>
        </w:rPr>
        <w:t>，联系电话</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563B3293">
      <w:pPr>
        <w:autoSpaceDE w:val="0"/>
        <w:autoSpaceDN w:val="0"/>
        <w:adjustRightInd w:val="0"/>
        <w:spacing w:line="360" w:lineRule="auto"/>
        <w:ind w:firstLine="482" w:firstLineChars="200"/>
        <w:rPr>
          <w:rFonts w:hint="eastAsia" w:ascii="仿宋" w:hAnsi="仿宋" w:eastAsia="仿宋" w:cs="仿宋"/>
          <w:b/>
          <w:color w:val="000000" w:themeColor="text1"/>
          <w:sz w:val="24"/>
          <w:szCs w:val="24"/>
          <w:highlight w:val="none"/>
          <w:lang w:val="zh-CN"/>
          <w14:textFill>
            <w14:solidFill>
              <w14:schemeClr w14:val="tx1"/>
            </w14:solidFill>
          </w14:textFill>
        </w:rPr>
      </w:pPr>
      <w:r>
        <w:rPr>
          <w:rFonts w:hint="eastAsia" w:ascii="仿宋" w:hAnsi="仿宋" w:eastAsia="仿宋" w:cs="仿宋"/>
          <w:b/>
          <w:color w:val="000000" w:themeColor="text1"/>
          <w:sz w:val="24"/>
          <w:szCs w:val="24"/>
          <w:highlight w:val="none"/>
          <w:lang w:val="zh-CN"/>
          <w14:textFill>
            <w14:solidFill>
              <w14:schemeClr w14:val="tx1"/>
            </w14:solidFill>
          </w14:textFill>
        </w:rPr>
        <w:t>五、甲乙双方</w:t>
      </w:r>
      <w:r>
        <w:rPr>
          <w:rFonts w:hint="eastAsia" w:ascii="仿宋" w:hAnsi="仿宋" w:eastAsia="仿宋" w:cs="仿宋"/>
          <w:b/>
          <w:color w:val="000000" w:themeColor="text1"/>
          <w:sz w:val="24"/>
          <w:szCs w:val="24"/>
          <w:highlight w:val="none"/>
          <w:lang w:val="en-US" w:eastAsia="zh-CN"/>
          <w14:textFill>
            <w14:solidFill>
              <w14:schemeClr w14:val="tx1"/>
            </w14:solidFill>
          </w14:textFill>
        </w:rPr>
        <w:t>权利</w:t>
      </w:r>
      <w:r>
        <w:rPr>
          <w:rFonts w:hint="eastAsia" w:ascii="仿宋" w:hAnsi="仿宋" w:eastAsia="仿宋" w:cs="仿宋"/>
          <w:b/>
          <w:color w:val="000000" w:themeColor="text1"/>
          <w:sz w:val="24"/>
          <w:szCs w:val="24"/>
          <w:highlight w:val="none"/>
          <w:lang w:val="zh-CN"/>
          <w14:textFill>
            <w14:solidFill>
              <w14:schemeClr w14:val="tx1"/>
            </w14:solidFill>
          </w14:textFill>
        </w:rPr>
        <w:t>义务</w:t>
      </w:r>
    </w:p>
    <w:p w14:paraId="50771D7D">
      <w:pPr>
        <w:autoSpaceDE w:val="0"/>
        <w:autoSpaceDN w:val="0"/>
        <w:adjustRightInd w:val="0"/>
        <w:spacing w:line="360" w:lineRule="auto"/>
        <w:ind w:firstLine="482"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（一）甲方的</w:t>
      </w:r>
      <w:r>
        <w:rPr>
          <w:rFonts w:hint="eastAsia" w:ascii="仿宋" w:hAnsi="仿宋" w:eastAsia="仿宋" w:cs="仿宋"/>
          <w:b/>
          <w:color w:val="000000" w:themeColor="text1"/>
          <w:sz w:val="24"/>
          <w:szCs w:val="24"/>
          <w:highlight w:val="none"/>
          <w:lang w:val="en-US" w:eastAsia="zh-CN"/>
          <w14:textFill>
            <w14:solidFill>
              <w14:schemeClr w14:val="tx1"/>
            </w14:solidFill>
          </w14:textFill>
        </w:rPr>
        <w:t>权利</w:t>
      </w:r>
      <w:r>
        <w:rPr>
          <w:rFonts w:hint="eastAsia" w:ascii="仿宋" w:hAnsi="仿宋" w:eastAsia="仿宋" w:cs="仿宋"/>
          <w:b/>
          <w:color w:val="000000" w:themeColor="text1"/>
          <w:sz w:val="24"/>
          <w:szCs w:val="24"/>
          <w:highlight w:val="none"/>
          <w14:textFill>
            <w14:solidFill>
              <w14:schemeClr w14:val="tx1"/>
            </w14:solidFill>
          </w14:textFill>
        </w:rPr>
        <w:t>义务</w:t>
      </w:r>
    </w:p>
    <w:p w14:paraId="7DD6EC3C">
      <w:pPr>
        <w:autoSpaceDE w:val="0"/>
        <w:autoSpaceDN w:val="0"/>
        <w:adjustRightIn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1、甲方有权指派专门人员或者单位对乙方的工作进行全程监督检查</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管理</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明确员工职责范围，对工作中不负责任、违反管理规定的人员，有权提出辞退要求，情况属实，服务商应无条件予以执行。</w:t>
      </w:r>
    </w:p>
    <w:p w14:paraId="2CDA7F06">
      <w:pPr>
        <w:autoSpaceDE w:val="0"/>
        <w:autoSpaceDN w:val="0"/>
        <w:adjustRightInd w:val="0"/>
        <w:spacing w:line="360" w:lineRule="auto"/>
        <w:ind w:firstLine="480" w:firstLineChars="200"/>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2、如果乙方不按甲方规定时限完成各阶段工作任务，给甲方工作开展造成延误及损失，则甲方有权终止合同。</w:t>
      </w:r>
    </w:p>
    <w:p w14:paraId="16873F61">
      <w:pPr>
        <w:autoSpaceDE w:val="0"/>
        <w:autoSpaceDN w:val="0"/>
        <w:adjustRightInd w:val="0"/>
        <w:spacing w:line="360" w:lineRule="auto"/>
        <w:ind w:firstLine="480" w:firstLineChars="200"/>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为保证乙</w:t>
      </w:r>
      <w:r>
        <w:rPr>
          <w:rFonts w:hint="eastAsia" w:ascii="仿宋" w:hAnsi="仿宋" w:eastAsia="仿宋" w:cs="仿宋"/>
          <w:color w:val="000000" w:themeColor="text1"/>
          <w:sz w:val="24"/>
          <w:szCs w:val="24"/>
          <w:highlight w:val="none"/>
          <w:lang w:val="en-US" w:eastAsia="zh-CN"/>
          <w14:textFill>
            <w14:solidFill>
              <w14:schemeClr w14:val="tx1"/>
            </w14:solidFill>
          </w14:textFill>
        </w:rPr>
        <w:t>方</w:t>
      </w:r>
      <w:r>
        <w:rPr>
          <w:rFonts w:hint="eastAsia" w:ascii="仿宋" w:hAnsi="仿宋" w:eastAsia="仿宋" w:cs="仿宋"/>
          <w:color w:val="000000" w:themeColor="text1"/>
          <w:sz w:val="24"/>
          <w:szCs w:val="24"/>
          <w:highlight w:val="none"/>
          <w14:textFill>
            <w14:solidFill>
              <w14:schemeClr w14:val="tx1"/>
            </w14:solidFill>
          </w14:textFill>
        </w:rPr>
        <w:t>顺利履行职责，甲方应当主动、客观、真实的</w:t>
      </w:r>
      <w:r>
        <w:rPr>
          <w:rFonts w:hint="eastAsia" w:ascii="仿宋" w:hAnsi="仿宋" w:eastAsia="仿宋" w:cs="仿宋"/>
          <w:color w:val="000000" w:themeColor="text1"/>
          <w:sz w:val="24"/>
          <w:szCs w:val="24"/>
          <w:highlight w:val="none"/>
          <w:lang w:val="en-US" w:eastAsia="zh-CN"/>
          <w14:textFill>
            <w14:solidFill>
              <w14:schemeClr w14:val="tx1"/>
            </w14:solidFill>
          </w14:textFill>
        </w:rPr>
        <w:t>向乙方</w:t>
      </w:r>
      <w:r>
        <w:rPr>
          <w:rFonts w:hint="eastAsia" w:ascii="仿宋" w:hAnsi="仿宋" w:eastAsia="仿宋" w:cs="仿宋"/>
          <w:color w:val="000000" w:themeColor="text1"/>
          <w:sz w:val="24"/>
          <w:szCs w:val="24"/>
          <w:highlight w:val="none"/>
          <w14:textFill>
            <w14:solidFill>
              <w14:schemeClr w14:val="tx1"/>
            </w14:solidFill>
          </w14:textFill>
        </w:rPr>
        <w:t>提供与业务有关的情况和资料</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21661A0E">
      <w:pPr>
        <w:autoSpaceDE w:val="0"/>
        <w:autoSpaceDN w:val="0"/>
        <w:adjustRightIn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、按本合同约定向乙方支付合同价款。</w:t>
      </w:r>
    </w:p>
    <w:p w14:paraId="78A084D5">
      <w:pPr>
        <w:autoSpaceDE w:val="0"/>
        <w:autoSpaceDN w:val="0"/>
        <w:adjustRightInd w:val="0"/>
        <w:spacing w:line="360" w:lineRule="auto"/>
        <w:ind w:firstLine="482"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（二）乙方的</w:t>
      </w:r>
      <w:r>
        <w:rPr>
          <w:rFonts w:hint="eastAsia" w:ascii="仿宋" w:hAnsi="仿宋" w:eastAsia="仿宋" w:cs="仿宋"/>
          <w:b/>
          <w:color w:val="000000" w:themeColor="text1"/>
          <w:sz w:val="24"/>
          <w:szCs w:val="24"/>
          <w:highlight w:val="none"/>
          <w:lang w:val="en-US" w:eastAsia="zh-CN"/>
          <w14:textFill>
            <w14:solidFill>
              <w14:schemeClr w14:val="tx1"/>
            </w14:solidFill>
          </w14:textFill>
        </w:rPr>
        <w:t>权利</w:t>
      </w:r>
      <w:r>
        <w:rPr>
          <w:rFonts w:hint="eastAsia" w:ascii="仿宋" w:hAnsi="仿宋" w:eastAsia="仿宋" w:cs="仿宋"/>
          <w:b/>
          <w:color w:val="000000" w:themeColor="text1"/>
          <w:sz w:val="24"/>
          <w:szCs w:val="24"/>
          <w:highlight w:val="none"/>
          <w14:textFill>
            <w14:solidFill>
              <w14:schemeClr w14:val="tx1"/>
            </w14:solidFill>
          </w14:textFill>
        </w:rPr>
        <w:t>义务</w:t>
      </w:r>
    </w:p>
    <w:p w14:paraId="656531FF">
      <w:pPr>
        <w:autoSpaceDE w:val="0"/>
        <w:autoSpaceDN w:val="0"/>
        <w:adjustRightInd w:val="0"/>
        <w:spacing w:line="360" w:lineRule="auto"/>
        <w:ind w:firstLine="480" w:firstLineChars="200"/>
        <w:rPr>
          <w:rFonts w:hint="eastAsia"/>
          <w:color w:val="000000" w:themeColor="text1"/>
          <w:sz w:val="20"/>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w:t>
      </w:r>
      <w:r>
        <w:rPr>
          <w:rFonts w:hint="eastAsia" w:ascii="仿宋" w:hAnsi="仿宋" w:eastAsia="仿宋" w:cs="仿宋"/>
          <w:color w:val="000000" w:themeColor="text1"/>
          <w:sz w:val="24"/>
          <w:szCs w:val="24"/>
          <w:highlight w:val="none"/>
          <w:lang w:val="en-US" w:eastAsia="zh-CN"/>
          <w14:textFill>
            <w14:solidFill>
              <w14:schemeClr w14:val="tx1"/>
            </w14:solidFill>
          </w14:textFill>
        </w:rPr>
        <w:t>.按合同要求向甲方派出合格的服务人员，依据岗位职责结合采购人交予的任务执行服务工作；遵守采购人制定的各项规章制度，为采购人提供保障服务。</w:t>
      </w:r>
    </w:p>
    <w:p w14:paraId="1F0086E0">
      <w:pPr>
        <w:autoSpaceDE w:val="0"/>
        <w:autoSpaceDN w:val="0"/>
        <w:adjustRightIn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乙方应当严格按照国家有关法</w:t>
      </w:r>
      <w:r>
        <w:rPr>
          <w:rFonts w:hint="eastAsia" w:ascii="仿宋" w:hAnsi="仿宋" w:eastAsia="仿宋" w:cs="仿宋"/>
          <w:color w:val="000000" w:themeColor="text1"/>
          <w:sz w:val="24"/>
          <w:szCs w:val="24"/>
          <w:highlight w:val="none"/>
          <w:lang w:val="en-US" w:eastAsia="zh-CN"/>
          <w14:textFill>
            <w14:solidFill>
              <w14:schemeClr w14:val="tx1"/>
            </w14:solidFill>
          </w14:textFill>
        </w:rPr>
        <w:t>法律法规</w:t>
      </w:r>
      <w:r>
        <w:rPr>
          <w:rFonts w:hint="eastAsia" w:ascii="仿宋" w:hAnsi="仿宋" w:eastAsia="仿宋" w:cs="仿宋"/>
          <w:color w:val="000000" w:themeColor="text1"/>
          <w:sz w:val="24"/>
          <w:szCs w:val="24"/>
          <w:highlight w:val="none"/>
          <w14:textFill>
            <w14:solidFill>
              <w14:schemeClr w14:val="tx1"/>
            </w14:solidFill>
          </w14:textFill>
        </w:rPr>
        <w:t>政策及规定，为甲方提供服务，维护甲方的合法权益，乙方工作人员如不履行职责、不履行甲乙双方的约定，甲方有权向乙方提出更换。</w:t>
      </w:r>
    </w:p>
    <w:p w14:paraId="50C2CAFD">
      <w:pPr>
        <w:autoSpaceDE w:val="0"/>
        <w:autoSpaceDN w:val="0"/>
        <w:adjustRightIn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乙方不得将项目转让、分包给其它单位或个人。</w:t>
      </w:r>
    </w:p>
    <w:p w14:paraId="61794D0D">
      <w:pPr>
        <w:autoSpaceDE w:val="0"/>
        <w:autoSpaceDN w:val="0"/>
        <w:adjustRightInd w:val="0"/>
        <w:spacing w:line="360" w:lineRule="auto"/>
        <w:ind w:firstLine="480" w:firstLineChars="200"/>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4.以便及时沟通并做好服务工作，乙方定期征求采购人的意见，及时报告工作进度，在规定时间内完成相应的项目建设工作。</w:t>
      </w:r>
    </w:p>
    <w:p w14:paraId="597464F4">
      <w:pPr>
        <w:autoSpaceDE w:val="0"/>
        <w:autoSpaceDN w:val="0"/>
        <w:adjustRightInd w:val="0"/>
        <w:spacing w:line="360" w:lineRule="auto"/>
        <w:ind w:firstLine="480" w:firstLineChars="200"/>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5.甲方在工作质量、工作进度、工作内容等方面提出意见及建议，乙方应及时响应并有效改进；</w:t>
      </w:r>
    </w:p>
    <w:p w14:paraId="073E181F">
      <w:pPr>
        <w:autoSpaceDE w:val="0"/>
        <w:autoSpaceDN w:val="0"/>
        <w:adjustRightInd w:val="0"/>
        <w:spacing w:line="360" w:lineRule="auto"/>
        <w:ind w:firstLine="480" w:firstLineChars="200"/>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6、在国家未正式验收前，如政策发生变化，中标供应商须符合国家相应政策完善服务项目。</w:t>
      </w:r>
    </w:p>
    <w:p w14:paraId="4748B7C2">
      <w:pPr>
        <w:autoSpaceDE w:val="0"/>
        <w:autoSpaceDN w:val="0"/>
        <w:adjustRightInd w:val="0"/>
        <w:spacing w:line="360" w:lineRule="auto"/>
        <w:ind w:firstLine="480" w:firstLineChars="200"/>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7.保密协议：</w:t>
      </w:r>
    </w:p>
    <w:p w14:paraId="36B6EF99">
      <w:pPr>
        <w:autoSpaceDE w:val="0"/>
        <w:autoSpaceDN w:val="0"/>
        <w:adjustRightInd w:val="0"/>
        <w:spacing w:line="360" w:lineRule="auto"/>
        <w:ind w:firstLine="720" w:firstLineChars="300"/>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7.1自合同签订之日起，乙方有责任对甲方提供的各种文件（服务内容、资料、报告）、工作业务信息、中间过程数据、结果数据进行保密，未经甲方书面批准不得提供给任何第三方。如有违反包括故意泄露、管理不善、过失等原因造成的泄露，均视为乙方未执行好保密措施，乙方应承担相应的法律责任。此保密义务不因合同的终止而免除；</w:t>
      </w:r>
    </w:p>
    <w:p w14:paraId="0D089CF6">
      <w:pPr>
        <w:autoSpaceDE w:val="0"/>
        <w:autoSpaceDN w:val="0"/>
        <w:adjustRightInd w:val="0"/>
        <w:spacing w:line="360" w:lineRule="auto"/>
        <w:ind w:firstLine="720" w:firstLineChars="300"/>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7.2乙方应采取有效措施对甲方提供的资料和数据实施合乎规定（该类规定包括但不限于相关的保密法律、法规、规定、通知等）的保密处理措施，并对此负责；</w:t>
      </w:r>
    </w:p>
    <w:p w14:paraId="556BF1F2">
      <w:pPr>
        <w:autoSpaceDE w:val="0"/>
        <w:autoSpaceDN w:val="0"/>
        <w:adjustRightInd w:val="0"/>
        <w:spacing w:line="360" w:lineRule="auto"/>
        <w:ind w:firstLine="720" w:firstLineChars="300"/>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7.3乙方有义务遵守和配合执行甲方的保密管理规定与保密措施，并在项目实施完成后，归还甲方提供的全部资料。</w:t>
      </w:r>
    </w:p>
    <w:p w14:paraId="05100484">
      <w:pPr>
        <w:pStyle w:val="3"/>
        <w:spacing w:line="360" w:lineRule="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8.知识产权：乙方向甲方保证其在向甲方提交合同约定的产品之前对合同约定的全部产品享有完全的知识产权及所有权，并保证该产品在交付甲方使用后没有在任何权属纠纷，如在甲方使用该产品的过程中出现任何权属纠纷，均由乙方承担全部责任乙方还应向甲方承担合同总价款1%的违约金。</w:t>
      </w:r>
    </w:p>
    <w:p w14:paraId="22B20664">
      <w:pPr>
        <w:autoSpaceDE w:val="0"/>
        <w:autoSpaceDN w:val="0"/>
        <w:adjustRightInd w:val="0"/>
        <w:spacing w:line="360" w:lineRule="auto"/>
        <w:ind w:firstLine="720" w:firstLineChars="300"/>
        <w:rPr>
          <w:rFonts w:hint="eastAsia" w:ascii="仿宋" w:hAnsi="仿宋" w:eastAsia="仿宋" w:cs="仿宋"/>
          <w:b/>
          <w:color w:val="000000" w:themeColor="text1"/>
          <w:sz w:val="24"/>
          <w:szCs w:val="24"/>
          <w:highlight w:val="none"/>
          <w:lang w:val="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 xml:space="preserve"> </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六</w:t>
      </w:r>
      <w:r>
        <w:rPr>
          <w:rFonts w:hint="eastAsia" w:ascii="仿宋" w:hAnsi="仿宋" w:eastAsia="仿宋" w:cs="仿宋"/>
          <w:b/>
          <w:color w:val="000000" w:themeColor="text1"/>
          <w:sz w:val="24"/>
          <w:szCs w:val="24"/>
          <w:highlight w:val="none"/>
          <w:lang w:val="zh-CN"/>
          <w14:textFill>
            <w14:solidFill>
              <w14:schemeClr w14:val="tx1"/>
            </w14:solidFill>
          </w14:textFill>
        </w:rPr>
        <w:t>、违约责任</w:t>
      </w:r>
    </w:p>
    <w:p w14:paraId="7862131D">
      <w:pPr>
        <w:autoSpaceDE w:val="0"/>
        <w:autoSpaceDN w:val="0"/>
        <w:adjustRightIn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（一）合同期内，因服务商管理不善（且负主要责任），造成人员伤亡及经济损失的，其法律责任由服务商承担，采购人有权终止合同。</w:t>
      </w:r>
    </w:p>
    <w:p w14:paraId="0FD5179A">
      <w:pPr>
        <w:autoSpaceDE w:val="0"/>
        <w:autoSpaceDN w:val="0"/>
        <w:adjustRightIn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二</w:t>
      </w:r>
      <w:r>
        <w:rPr>
          <w:rFonts w:hint="eastAsia" w:ascii="仿宋" w:hAnsi="仿宋" w:eastAsia="仿宋" w:cs="仿宋"/>
          <w:color w:val="000000" w:themeColor="text1"/>
          <w:sz w:val="24"/>
          <w:szCs w:val="24"/>
          <w:highlight w:val="none"/>
          <w14:textFill>
            <w14:solidFill>
              <w14:schemeClr w14:val="tx1"/>
            </w14:solidFill>
          </w14:textFill>
        </w:rPr>
        <w:t>）未按合同要求提供服务或服务质量不能满足合同要求，采购人应当将服务商违约的情况以及拟采取的措施以书面形式报政府采购监管部门，根据政府采购监管部门的处理意见，采购人有权依据《合同法》有关条款及合同约定终止合同，并要求服务商承担违约责任。同时，政府采购监管部门有权依据《政府采购法》及相关法律法规对服务商的违法行为进行相应的处罚。</w:t>
      </w:r>
    </w:p>
    <w:p w14:paraId="375C676E">
      <w:pPr>
        <w:autoSpaceDE w:val="0"/>
        <w:autoSpaceDN w:val="0"/>
        <w:adjustRightIn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三</w:t>
      </w:r>
      <w:r>
        <w:rPr>
          <w:rFonts w:hint="eastAsia" w:ascii="仿宋" w:hAnsi="仿宋" w:eastAsia="仿宋" w:cs="仿宋"/>
          <w:color w:val="000000" w:themeColor="text1"/>
          <w:sz w:val="24"/>
          <w:szCs w:val="24"/>
          <w:highlight w:val="none"/>
          <w14:textFill>
            <w14:solidFill>
              <w14:schemeClr w14:val="tx1"/>
            </w14:solidFill>
          </w14:textFill>
        </w:rPr>
        <w:t>）乙方未能在合同规定的期间或甲方同意延长的期间内提供全部或部分服务,或在本合同履行过程中有腐败和欺诈行为的，甲方可向乙方发出书面通知，并部分或全部终止合同。同时保留向乙方追诉的权利。“腐败行为”是指提供/给予/接受或索取任何有价值的东西来影响甲方在合同签订、履行过程中的行为；“欺诈行为”是指为了影响合同签订、履行过程，以谎报事实的方法，损害甲方的利益的行为。</w:t>
      </w:r>
    </w:p>
    <w:p w14:paraId="77007BF6">
      <w:pPr>
        <w:autoSpaceDE w:val="0"/>
        <w:autoSpaceDN w:val="0"/>
        <w:adjustRightIn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四</w:t>
      </w:r>
      <w:r>
        <w:rPr>
          <w:rFonts w:hint="eastAsia" w:ascii="仿宋" w:hAnsi="仿宋" w:eastAsia="仿宋" w:cs="仿宋"/>
          <w:color w:val="000000" w:themeColor="text1"/>
          <w:sz w:val="24"/>
          <w:szCs w:val="24"/>
          <w:highlight w:val="none"/>
          <w14:textFill>
            <w14:solidFill>
              <w14:schemeClr w14:val="tx1"/>
            </w14:solidFill>
          </w14:textFill>
        </w:rPr>
        <w:t>）在甲方部分或全部解除合同之后，甲方在全部或部分</w:t>
      </w:r>
      <w:r>
        <w:rPr>
          <w:rFonts w:hint="eastAsia" w:ascii="仿宋" w:hAnsi="仿宋" w:eastAsia="仿宋" w:cs="仿宋"/>
          <w:color w:val="000000" w:themeColor="text1"/>
          <w:sz w:val="24"/>
          <w:szCs w:val="24"/>
          <w:highlight w:val="none"/>
          <w:lang w:eastAsia="zh-CN"/>
          <w14:textFill>
            <w14:solidFill>
              <w14:schemeClr w14:val="tx1"/>
            </w14:solidFill>
          </w14:textFill>
        </w:rPr>
        <w:t>获取</w:t>
      </w:r>
      <w:r>
        <w:rPr>
          <w:rFonts w:hint="eastAsia" w:ascii="仿宋" w:hAnsi="仿宋" w:eastAsia="仿宋" w:cs="仿宋"/>
          <w:color w:val="000000" w:themeColor="text1"/>
          <w:sz w:val="24"/>
          <w:szCs w:val="24"/>
          <w:highlight w:val="none"/>
          <w14:textFill>
            <w14:solidFill>
              <w14:schemeClr w14:val="tx1"/>
            </w14:solidFill>
          </w14:textFill>
        </w:rPr>
        <w:t>与未交付的服务类似的服务时，乙方应承担甲方</w:t>
      </w:r>
      <w:r>
        <w:rPr>
          <w:rFonts w:hint="eastAsia" w:ascii="仿宋" w:hAnsi="仿宋" w:eastAsia="仿宋" w:cs="仿宋"/>
          <w:color w:val="000000" w:themeColor="text1"/>
          <w:sz w:val="24"/>
          <w:szCs w:val="24"/>
          <w:highlight w:val="none"/>
          <w:lang w:eastAsia="zh-CN"/>
          <w14:textFill>
            <w14:solidFill>
              <w14:schemeClr w14:val="tx1"/>
            </w14:solidFill>
          </w14:textFill>
        </w:rPr>
        <w:t>获取</w:t>
      </w:r>
      <w:r>
        <w:rPr>
          <w:rFonts w:hint="eastAsia" w:ascii="仿宋" w:hAnsi="仿宋" w:eastAsia="仿宋" w:cs="仿宋"/>
          <w:color w:val="000000" w:themeColor="text1"/>
          <w:sz w:val="24"/>
          <w:szCs w:val="24"/>
          <w:highlight w:val="none"/>
          <w14:textFill>
            <w14:solidFill>
              <w14:schemeClr w14:val="tx1"/>
            </w14:solidFill>
          </w14:textFill>
        </w:rPr>
        <w:t>类似服务而产生的额外支出。部分解除合同的，乙方应继续履行合同中未解除的部分。</w:t>
      </w:r>
    </w:p>
    <w:p w14:paraId="226710BC">
      <w:pPr>
        <w:autoSpaceDE w:val="0"/>
        <w:autoSpaceDN w:val="0"/>
        <w:adjustRightInd w:val="0"/>
        <w:spacing w:line="360" w:lineRule="auto"/>
        <w:ind w:firstLine="482" w:firstLineChars="200"/>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七</w:t>
      </w:r>
      <w:r>
        <w:rPr>
          <w:rFonts w:hint="eastAsia" w:ascii="仿宋" w:hAnsi="仿宋" w:eastAsia="仿宋" w:cs="仿宋"/>
          <w:b/>
          <w:bCs/>
          <w:color w:val="000000" w:themeColor="text1"/>
          <w:sz w:val="24"/>
          <w:szCs w:val="24"/>
          <w:highlight w:val="none"/>
          <w:lang w:eastAsia="zh-CN"/>
          <w14:textFill>
            <w14:solidFill>
              <w14:schemeClr w14:val="tx1"/>
            </w14:solidFill>
          </w14:textFill>
        </w:rPr>
        <w:t>、</w:t>
      </w:r>
      <w:r>
        <w:rPr>
          <w:rFonts w:hint="eastAsia" w:ascii="仿宋" w:hAnsi="仿宋" w:eastAsia="仿宋" w:cs="仿宋"/>
          <w:b/>
          <w:bCs/>
          <w:color w:val="000000" w:themeColor="text1"/>
          <w:sz w:val="24"/>
          <w:szCs w:val="24"/>
          <w:highlight w:val="none"/>
          <w14:textFill>
            <w14:solidFill>
              <w14:schemeClr w14:val="tx1"/>
            </w14:solidFill>
          </w14:textFill>
        </w:rPr>
        <w:t>合同争议解决的方式</w:t>
      </w:r>
    </w:p>
    <w:p w14:paraId="58F8A4FB">
      <w:pPr>
        <w:autoSpaceDE w:val="0"/>
        <w:autoSpaceDN w:val="0"/>
        <w:adjustRightInd w:val="0"/>
        <w:spacing w:line="360" w:lineRule="auto"/>
        <w:ind w:firstLine="480" w:firstLineChars="200"/>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本合同在履行过程中发生的争议，由甲、乙双方当事人协商解决，协商不成的按下列第</w:t>
      </w:r>
      <w:r>
        <w:rPr>
          <w:rFonts w:hint="eastAsia" w:ascii="仿宋" w:hAnsi="仿宋" w:eastAsia="仿宋" w:cs="仿宋"/>
          <w:bCs/>
          <w:color w:val="000000" w:themeColor="text1"/>
          <w:sz w:val="24"/>
          <w:szCs w:val="24"/>
          <w:highlight w:val="none"/>
          <w:u w:val="single"/>
          <w14:textFill>
            <w14:solidFill>
              <w14:schemeClr w14:val="tx1"/>
            </w14:solidFill>
          </w14:textFill>
        </w:rPr>
        <w:t>（一）</w:t>
      </w:r>
      <w:r>
        <w:rPr>
          <w:rFonts w:hint="eastAsia" w:ascii="仿宋" w:hAnsi="仿宋" w:eastAsia="仿宋" w:cs="仿宋"/>
          <w:bCs/>
          <w:color w:val="000000" w:themeColor="text1"/>
          <w:sz w:val="24"/>
          <w:szCs w:val="24"/>
          <w:highlight w:val="none"/>
          <w14:textFill>
            <w14:solidFill>
              <w14:schemeClr w14:val="tx1"/>
            </w14:solidFill>
          </w14:textFill>
        </w:rPr>
        <w:t>种方式解决：</w:t>
      </w:r>
    </w:p>
    <w:p w14:paraId="5471A6B6">
      <w:pPr>
        <w:autoSpaceDE w:val="0"/>
        <w:autoSpaceDN w:val="0"/>
        <w:adjustRightInd w:val="0"/>
        <w:spacing w:line="360" w:lineRule="auto"/>
        <w:ind w:firstLine="480" w:firstLineChars="200"/>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（一）提交西安仲裁委员会仲裁；</w:t>
      </w:r>
    </w:p>
    <w:p w14:paraId="670AE22F">
      <w:pPr>
        <w:autoSpaceDE w:val="0"/>
        <w:autoSpaceDN w:val="0"/>
        <w:adjustRightInd w:val="0"/>
        <w:spacing w:line="360" w:lineRule="auto"/>
        <w:ind w:firstLine="480" w:firstLineChars="200"/>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（二）依法向甲方所在地人民法院起诉。</w:t>
      </w:r>
    </w:p>
    <w:p w14:paraId="3FABCE25">
      <w:pPr>
        <w:autoSpaceDE w:val="0"/>
        <w:autoSpaceDN w:val="0"/>
        <w:adjustRightInd w:val="0"/>
        <w:spacing w:line="360" w:lineRule="auto"/>
        <w:ind w:firstLine="482" w:firstLineChars="200"/>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val="0"/>
          <w:color w:val="000000" w:themeColor="text1"/>
          <w:sz w:val="24"/>
          <w:szCs w:val="24"/>
          <w:highlight w:val="none"/>
          <w:lang w:val="en-US" w:eastAsia="zh-CN"/>
          <w14:textFill>
            <w14:solidFill>
              <w14:schemeClr w14:val="tx1"/>
            </w14:solidFill>
          </w14:textFill>
        </w:rPr>
        <w:t>八</w:t>
      </w:r>
      <w:r>
        <w:rPr>
          <w:rFonts w:hint="eastAsia" w:ascii="仿宋" w:hAnsi="仿宋" w:eastAsia="仿宋" w:cs="仿宋"/>
          <w:b/>
          <w:bCs/>
          <w:color w:val="000000" w:themeColor="text1"/>
          <w:sz w:val="24"/>
          <w:szCs w:val="24"/>
          <w:highlight w:val="none"/>
          <w:lang w:eastAsia="zh-CN"/>
          <w14:textFill>
            <w14:solidFill>
              <w14:schemeClr w14:val="tx1"/>
            </w14:solidFill>
          </w14:textFill>
        </w:rPr>
        <w:t>、</w:t>
      </w:r>
      <w:r>
        <w:rPr>
          <w:rFonts w:hint="eastAsia" w:ascii="仿宋" w:hAnsi="仿宋" w:eastAsia="仿宋" w:cs="仿宋"/>
          <w:b/>
          <w:bCs/>
          <w:color w:val="000000" w:themeColor="text1"/>
          <w:sz w:val="24"/>
          <w:szCs w:val="24"/>
          <w:highlight w:val="none"/>
          <w14:textFill>
            <w14:solidFill>
              <w14:schemeClr w14:val="tx1"/>
            </w14:solidFill>
          </w14:textFill>
        </w:rPr>
        <w:t>合同生效</w:t>
      </w:r>
    </w:p>
    <w:p w14:paraId="746ADFED">
      <w:pPr>
        <w:autoSpaceDE w:val="0"/>
        <w:autoSpaceDN w:val="0"/>
        <w:adjustRightInd w:val="0"/>
        <w:spacing w:line="360" w:lineRule="auto"/>
        <w:ind w:firstLine="480" w:firstLineChars="200"/>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w:t>
      </w:r>
      <w:r>
        <w:rPr>
          <w:rFonts w:hint="eastAsia" w:ascii="仿宋" w:hAnsi="仿宋" w:eastAsia="仿宋" w:cs="仿宋"/>
          <w:bCs/>
          <w:color w:val="000000" w:themeColor="text1"/>
          <w:sz w:val="24"/>
          <w:szCs w:val="24"/>
          <w:highlight w:val="none"/>
          <w:lang w:eastAsia="zh-CN"/>
          <w14:textFill>
            <w14:solidFill>
              <w14:schemeClr w14:val="tx1"/>
            </w14:solidFill>
          </w14:textFill>
        </w:rPr>
        <w:t>一</w:t>
      </w:r>
      <w:r>
        <w:rPr>
          <w:rFonts w:hint="eastAsia" w:ascii="仿宋" w:hAnsi="仿宋" w:eastAsia="仿宋" w:cs="仿宋"/>
          <w:bCs/>
          <w:color w:val="000000" w:themeColor="text1"/>
          <w:sz w:val="24"/>
          <w:szCs w:val="24"/>
          <w:highlight w:val="none"/>
          <w14:textFill>
            <w14:solidFill>
              <w14:schemeClr w14:val="tx1"/>
            </w14:solidFill>
          </w14:textFill>
        </w:rPr>
        <w:t>）本协议一经生效，双方均应严格遵守；如有违约，守约方可依照《中华人民共和国</w:t>
      </w:r>
      <w:r>
        <w:rPr>
          <w:rFonts w:hint="eastAsia" w:ascii="仿宋" w:hAnsi="仿宋" w:eastAsia="仿宋" w:cs="仿宋"/>
          <w:bCs/>
          <w:color w:val="000000" w:themeColor="text1"/>
          <w:sz w:val="24"/>
          <w:szCs w:val="24"/>
          <w:highlight w:val="none"/>
          <w:lang w:val="en-US" w:eastAsia="zh-CN"/>
          <w14:textFill>
            <w14:solidFill>
              <w14:schemeClr w14:val="tx1"/>
            </w14:solidFill>
          </w14:textFill>
        </w:rPr>
        <w:t>民法典</w:t>
      </w:r>
      <w:r>
        <w:rPr>
          <w:rFonts w:hint="eastAsia" w:ascii="仿宋" w:hAnsi="仿宋" w:eastAsia="仿宋" w:cs="仿宋"/>
          <w:bCs/>
          <w:color w:val="000000" w:themeColor="text1"/>
          <w:sz w:val="24"/>
          <w:szCs w:val="24"/>
          <w:highlight w:val="none"/>
          <w14:textFill>
            <w14:solidFill>
              <w14:schemeClr w14:val="tx1"/>
            </w14:solidFill>
          </w14:textFill>
        </w:rPr>
        <w:t>》及有关法律、法规规定，追究违约方的法律责任。</w:t>
      </w:r>
    </w:p>
    <w:p w14:paraId="5959E7CA">
      <w:pPr>
        <w:autoSpaceDE w:val="0"/>
        <w:autoSpaceDN w:val="0"/>
        <w:adjustRightInd w:val="0"/>
        <w:spacing w:line="360" w:lineRule="auto"/>
        <w:ind w:firstLine="480" w:firstLineChars="200"/>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w:t>
      </w:r>
      <w:r>
        <w:rPr>
          <w:rFonts w:hint="eastAsia" w:ascii="仿宋" w:hAnsi="仿宋" w:eastAsia="仿宋" w:cs="仿宋"/>
          <w:bCs/>
          <w:color w:val="000000" w:themeColor="text1"/>
          <w:sz w:val="24"/>
          <w:szCs w:val="24"/>
          <w:highlight w:val="none"/>
          <w:lang w:eastAsia="zh-CN"/>
          <w14:textFill>
            <w14:solidFill>
              <w14:schemeClr w14:val="tx1"/>
            </w14:solidFill>
          </w14:textFill>
        </w:rPr>
        <w:t>二</w:t>
      </w:r>
      <w:r>
        <w:rPr>
          <w:rFonts w:hint="eastAsia" w:ascii="仿宋" w:hAnsi="仿宋" w:eastAsia="仿宋" w:cs="仿宋"/>
          <w:bCs/>
          <w:color w:val="000000" w:themeColor="text1"/>
          <w:sz w:val="24"/>
          <w:szCs w:val="24"/>
          <w:highlight w:val="none"/>
          <w14:textFill>
            <w14:solidFill>
              <w14:schemeClr w14:val="tx1"/>
            </w14:solidFill>
          </w14:textFill>
        </w:rPr>
        <w:t>）本协议未尽事宜双方可另行协商，签订补充协议。</w:t>
      </w:r>
    </w:p>
    <w:p w14:paraId="1C8353D4">
      <w:pPr>
        <w:autoSpaceDE w:val="0"/>
        <w:autoSpaceDN w:val="0"/>
        <w:adjustRightInd w:val="0"/>
        <w:spacing w:line="360" w:lineRule="auto"/>
        <w:ind w:firstLine="482" w:firstLineChars="200"/>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
          <w:bCs w:val="0"/>
          <w:color w:val="000000" w:themeColor="text1"/>
          <w:sz w:val="24"/>
          <w:szCs w:val="24"/>
          <w:highlight w:val="none"/>
          <w:lang w:val="en-US" w:eastAsia="zh-CN"/>
          <w14:textFill>
            <w14:solidFill>
              <w14:schemeClr w14:val="tx1"/>
            </w14:solidFill>
          </w14:textFill>
        </w:rPr>
        <w:t>九</w:t>
      </w:r>
      <w:r>
        <w:rPr>
          <w:rFonts w:hint="eastAsia" w:ascii="仿宋" w:hAnsi="仿宋" w:eastAsia="仿宋" w:cs="仿宋"/>
          <w:b/>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Cs/>
          <w:color w:val="000000" w:themeColor="text1"/>
          <w:sz w:val="24"/>
          <w:szCs w:val="24"/>
          <w:highlight w:val="none"/>
          <w14:textFill>
            <w14:solidFill>
              <w14:schemeClr w14:val="tx1"/>
            </w14:solidFill>
          </w14:textFill>
        </w:rPr>
        <w:t>本协议</w:t>
      </w:r>
      <w:r>
        <w:rPr>
          <w:rFonts w:hint="eastAsia" w:ascii="仿宋" w:hAnsi="仿宋" w:eastAsia="仿宋" w:cs="仿宋"/>
          <w:bCs/>
          <w:color w:val="000000" w:themeColor="text1"/>
          <w:sz w:val="24"/>
          <w:szCs w:val="24"/>
          <w:highlight w:val="none"/>
          <w:lang w:eastAsia="zh-CN"/>
          <w14:textFill>
            <w14:solidFill>
              <w14:schemeClr w14:val="tx1"/>
            </w14:solidFill>
          </w14:textFill>
        </w:rPr>
        <w:t>一式</w:t>
      </w:r>
      <w:r>
        <w:rPr>
          <w:rFonts w:hint="eastAsia" w:ascii="仿宋" w:hAnsi="仿宋" w:eastAsia="仿宋" w:cs="仿宋"/>
          <w:bCs/>
          <w:color w:val="000000" w:themeColor="text1"/>
          <w:sz w:val="24"/>
          <w:szCs w:val="24"/>
          <w:highlight w:val="none"/>
          <w:u w:val="single"/>
          <w:lang w:eastAsia="zh-CN"/>
          <w14:textFill>
            <w14:solidFill>
              <w14:schemeClr w14:val="tx1"/>
            </w14:solidFill>
          </w14:textFill>
        </w:rPr>
        <w:t>六</w:t>
      </w:r>
      <w:r>
        <w:rPr>
          <w:rFonts w:hint="eastAsia" w:ascii="仿宋" w:hAnsi="仿宋" w:eastAsia="仿宋" w:cs="仿宋"/>
          <w:bCs/>
          <w:color w:val="000000" w:themeColor="text1"/>
          <w:sz w:val="24"/>
          <w:szCs w:val="24"/>
          <w:highlight w:val="none"/>
          <w:lang w:eastAsia="zh-CN"/>
          <w14:textFill>
            <w14:solidFill>
              <w14:schemeClr w14:val="tx1"/>
            </w14:solidFill>
          </w14:textFill>
        </w:rPr>
        <w:t>份</w:t>
      </w:r>
      <w:r>
        <w:rPr>
          <w:rFonts w:hint="eastAsia" w:ascii="仿宋" w:hAnsi="仿宋" w:eastAsia="仿宋" w:cs="仿宋"/>
          <w:bCs/>
          <w:color w:val="000000" w:themeColor="text1"/>
          <w:sz w:val="24"/>
          <w:szCs w:val="24"/>
          <w:highlight w:val="none"/>
          <w14:textFill>
            <w14:solidFill>
              <w14:schemeClr w14:val="tx1"/>
            </w14:solidFill>
          </w14:textFill>
        </w:rPr>
        <w:t>，甲乙双方各执</w:t>
      </w:r>
      <w:r>
        <w:rPr>
          <w:rFonts w:hint="eastAsia" w:ascii="仿宋" w:hAnsi="仿宋" w:eastAsia="仿宋" w:cs="仿宋"/>
          <w:bCs/>
          <w:color w:val="000000" w:themeColor="text1"/>
          <w:sz w:val="24"/>
          <w:szCs w:val="24"/>
          <w:highlight w:val="none"/>
          <w:u w:val="single"/>
          <w:lang w:eastAsia="zh-CN"/>
          <w14:textFill>
            <w14:solidFill>
              <w14:schemeClr w14:val="tx1"/>
            </w14:solidFill>
          </w14:textFill>
        </w:rPr>
        <w:t>三</w:t>
      </w:r>
      <w:r>
        <w:rPr>
          <w:rFonts w:hint="eastAsia" w:ascii="仿宋" w:hAnsi="仿宋" w:eastAsia="仿宋" w:cs="仿宋"/>
          <w:bCs/>
          <w:color w:val="000000" w:themeColor="text1"/>
          <w:sz w:val="24"/>
          <w:szCs w:val="24"/>
          <w:highlight w:val="none"/>
          <w14:textFill>
            <w14:solidFill>
              <w14:schemeClr w14:val="tx1"/>
            </w14:solidFill>
          </w14:textFill>
        </w:rPr>
        <w:t>份</w:t>
      </w:r>
      <w:r>
        <w:rPr>
          <w:rFonts w:hint="eastAsia" w:ascii="仿宋" w:hAnsi="仿宋" w:eastAsia="仿宋" w:cs="仿宋"/>
          <w:bCs/>
          <w:color w:val="000000" w:themeColor="text1"/>
          <w:sz w:val="24"/>
          <w:szCs w:val="24"/>
          <w:highlight w:val="none"/>
          <w:lang w:eastAsia="zh-CN"/>
          <w14:textFill>
            <w14:solidFill>
              <w14:schemeClr w14:val="tx1"/>
            </w14:solidFill>
          </w14:textFill>
        </w:rPr>
        <w:t>，</w:t>
      </w:r>
      <w:r>
        <w:rPr>
          <w:rFonts w:hint="eastAsia" w:ascii="仿宋" w:hAnsi="仿宋" w:eastAsia="仿宋" w:cs="仿宋"/>
          <w:bCs/>
          <w:color w:val="000000" w:themeColor="text1"/>
          <w:sz w:val="24"/>
          <w:szCs w:val="24"/>
          <w:highlight w:val="none"/>
          <w14:textFill>
            <w14:solidFill>
              <w14:schemeClr w14:val="tx1"/>
            </w14:solidFill>
          </w14:textFill>
        </w:rPr>
        <w:t>具有同等法律效力。</w:t>
      </w:r>
    </w:p>
    <w:tbl>
      <w:tblPr>
        <w:tblStyle w:val="5"/>
        <w:tblW w:w="0" w:type="auto"/>
        <w:jc w:val="center"/>
        <w:tblLayout w:type="fixed"/>
        <w:tblCellMar>
          <w:top w:w="0" w:type="dxa"/>
          <w:left w:w="108" w:type="dxa"/>
          <w:bottom w:w="0" w:type="dxa"/>
          <w:right w:w="108" w:type="dxa"/>
        </w:tblCellMar>
      </w:tblPr>
      <w:tblGrid>
        <w:gridCol w:w="4201"/>
        <w:gridCol w:w="4202"/>
      </w:tblGrid>
      <w:tr w14:paraId="3A6DFBE3">
        <w:tblPrEx>
          <w:tblCellMar>
            <w:top w:w="0" w:type="dxa"/>
            <w:left w:w="108" w:type="dxa"/>
            <w:bottom w:w="0" w:type="dxa"/>
            <w:right w:w="108" w:type="dxa"/>
          </w:tblCellMar>
        </w:tblPrEx>
        <w:trPr>
          <w:trHeight w:val="567" w:hRule="exact"/>
          <w:jc w:val="center"/>
        </w:trPr>
        <w:tc>
          <w:tcPr>
            <w:tcW w:w="4201" w:type="dxa"/>
            <w:noWrap w:val="0"/>
            <w:vAlign w:val="center"/>
          </w:tcPr>
          <w:p w14:paraId="7101CDEB">
            <w:pPr>
              <w:keepNext w:val="0"/>
              <w:keepLines w:val="0"/>
              <w:suppressLineNumbers w:val="0"/>
              <w:autoSpaceDE w:val="0"/>
              <w:autoSpaceDN w:val="0"/>
              <w:adjustRightInd w:val="0"/>
              <w:spacing w:before="0" w:beforeAutospacing="0" w:after="0" w:afterAutospacing="0" w:line="360" w:lineRule="auto"/>
              <w:ind w:left="0" w:right="0"/>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甲  方</w:t>
            </w:r>
          </w:p>
        </w:tc>
        <w:tc>
          <w:tcPr>
            <w:tcW w:w="4202" w:type="dxa"/>
            <w:noWrap w:val="0"/>
            <w:vAlign w:val="center"/>
          </w:tcPr>
          <w:p w14:paraId="24AE608D">
            <w:pPr>
              <w:keepNext w:val="0"/>
              <w:keepLines w:val="0"/>
              <w:suppressLineNumbers w:val="0"/>
              <w:autoSpaceDE w:val="0"/>
              <w:autoSpaceDN w:val="0"/>
              <w:adjustRightInd w:val="0"/>
              <w:spacing w:before="0" w:beforeAutospacing="0" w:after="0" w:afterAutospacing="0" w:line="360" w:lineRule="auto"/>
              <w:ind w:left="0" w:right="0"/>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乙  方</w:t>
            </w:r>
          </w:p>
        </w:tc>
      </w:tr>
      <w:tr w14:paraId="423E6690">
        <w:tblPrEx>
          <w:tblCellMar>
            <w:top w:w="0" w:type="dxa"/>
            <w:left w:w="108" w:type="dxa"/>
            <w:bottom w:w="0" w:type="dxa"/>
            <w:right w:w="108" w:type="dxa"/>
          </w:tblCellMar>
        </w:tblPrEx>
        <w:trPr>
          <w:trHeight w:val="567" w:hRule="exact"/>
          <w:jc w:val="center"/>
        </w:trPr>
        <w:tc>
          <w:tcPr>
            <w:tcW w:w="4201" w:type="dxa"/>
            <w:noWrap w:val="0"/>
            <w:vAlign w:val="center"/>
          </w:tcPr>
          <w:p w14:paraId="2D45BA35">
            <w:pPr>
              <w:keepNext w:val="0"/>
              <w:keepLines w:val="0"/>
              <w:suppressLineNumbers w:val="0"/>
              <w:autoSpaceDE w:val="0"/>
              <w:autoSpaceDN w:val="0"/>
              <w:adjustRightInd w:val="0"/>
              <w:spacing w:before="0" w:beforeAutospacing="0" w:after="0" w:afterAutospacing="0" w:line="360" w:lineRule="auto"/>
              <w:ind w:left="0" w:right="0"/>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（盖章）</w:t>
            </w:r>
          </w:p>
        </w:tc>
        <w:tc>
          <w:tcPr>
            <w:tcW w:w="4202" w:type="dxa"/>
            <w:noWrap w:val="0"/>
            <w:vAlign w:val="center"/>
          </w:tcPr>
          <w:p w14:paraId="45333F15">
            <w:pPr>
              <w:keepNext w:val="0"/>
              <w:keepLines w:val="0"/>
              <w:suppressLineNumbers w:val="0"/>
              <w:autoSpaceDE w:val="0"/>
              <w:autoSpaceDN w:val="0"/>
              <w:adjustRightInd w:val="0"/>
              <w:spacing w:before="0" w:beforeAutospacing="0" w:after="0" w:afterAutospacing="0" w:line="360" w:lineRule="auto"/>
              <w:ind w:left="0" w:right="0"/>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（盖章）</w:t>
            </w:r>
          </w:p>
        </w:tc>
      </w:tr>
      <w:tr w14:paraId="674988DE">
        <w:tblPrEx>
          <w:tblCellMar>
            <w:top w:w="0" w:type="dxa"/>
            <w:left w:w="108" w:type="dxa"/>
            <w:bottom w:w="0" w:type="dxa"/>
            <w:right w:w="108" w:type="dxa"/>
          </w:tblCellMar>
        </w:tblPrEx>
        <w:trPr>
          <w:trHeight w:val="567" w:hRule="exact"/>
          <w:jc w:val="center"/>
        </w:trPr>
        <w:tc>
          <w:tcPr>
            <w:tcW w:w="4201" w:type="dxa"/>
            <w:noWrap w:val="0"/>
            <w:vAlign w:val="center"/>
          </w:tcPr>
          <w:p w14:paraId="1B2026AC">
            <w:pPr>
              <w:keepNext w:val="0"/>
              <w:keepLines w:val="0"/>
              <w:suppressLineNumbers w:val="0"/>
              <w:autoSpaceDE w:val="0"/>
              <w:autoSpaceDN w:val="0"/>
              <w:adjustRightInd w:val="0"/>
              <w:spacing w:before="0" w:beforeAutospacing="0" w:after="0" w:afterAutospacing="0"/>
              <w:ind w:left="0" w:right="0"/>
              <w:rPr>
                <w:rFonts w:hint="eastAsia" w:ascii="仿宋" w:hAnsi="仿宋" w:eastAsia="仿宋" w:cs="仿宋"/>
                <w:color w:val="000000" w:themeColor="text1"/>
                <w:spacing w:val="-20"/>
                <w:kern w:val="0"/>
                <w:sz w:val="24"/>
                <w:szCs w:val="24"/>
                <w:highlight w:val="none"/>
                <w14:textFill>
                  <w14:solidFill>
                    <w14:schemeClr w14:val="tx1"/>
                  </w14:solidFill>
                </w14:textFill>
              </w:rPr>
            </w:pPr>
          </w:p>
        </w:tc>
        <w:tc>
          <w:tcPr>
            <w:tcW w:w="4202" w:type="dxa"/>
            <w:noWrap w:val="0"/>
            <w:vAlign w:val="center"/>
          </w:tcPr>
          <w:p w14:paraId="4F468DB1">
            <w:pPr>
              <w:keepNext w:val="0"/>
              <w:keepLines w:val="0"/>
              <w:suppressLineNumbers w:val="0"/>
              <w:autoSpaceDE w:val="0"/>
              <w:autoSpaceDN w:val="0"/>
              <w:adjustRightInd w:val="0"/>
              <w:spacing w:before="0" w:beforeAutospacing="0" w:after="0" w:afterAutospacing="0"/>
              <w:ind w:left="0" w:right="0"/>
              <w:rPr>
                <w:rFonts w:hint="eastAsia" w:ascii="仿宋" w:hAnsi="仿宋" w:eastAsia="仿宋" w:cs="仿宋"/>
                <w:color w:val="000000" w:themeColor="text1"/>
                <w:spacing w:val="-20"/>
                <w:kern w:val="0"/>
                <w:sz w:val="24"/>
                <w:szCs w:val="24"/>
                <w:highlight w:val="none"/>
                <w14:textFill>
                  <w14:solidFill>
                    <w14:schemeClr w14:val="tx1"/>
                  </w14:solidFill>
                </w14:textFill>
              </w:rPr>
            </w:pPr>
          </w:p>
        </w:tc>
      </w:tr>
      <w:tr w14:paraId="118A9107">
        <w:tblPrEx>
          <w:tblCellMar>
            <w:top w:w="0" w:type="dxa"/>
            <w:left w:w="108" w:type="dxa"/>
            <w:bottom w:w="0" w:type="dxa"/>
            <w:right w:w="108" w:type="dxa"/>
          </w:tblCellMar>
        </w:tblPrEx>
        <w:trPr>
          <w:trHeight w:val="567" w:hRule="exact"/>
          <w:jc w:val="center"/>
        </w:trPr>
        <w:tc>
          <w:tcPr>
            <w:tcW w:w="4201" w:type="dxa"/>
            <w:noWrap w:val="0"/>
            <w:vAlign w:val="center"/>
          </w:tcPr>
          <w:p w14:paraId="21111D94">
            <w:pPr>
              <w:keepNext w:val="0"/>
              <w:keepLines w:val="0"/>
              <w:suppressLineNumbers w:val="0"/>
              <w:autoSpaceDE w:val="0"/>
              <w:autoSpaceDN w:val="0"/>
              <w:adjustRightInd w:val="0"/>
              <w:spacing w:before="0" w:beforeAutospacing="0" w:after="0" w:afterAutospacing="0"/>
              <w:ind w:left="0" w:right="0"/>
              <w:rPr>
                <w:rFonts w:hint="eastAsia" w:ascii="仿宋" w:hAnsi="仿宋" w:eastAsia="仿宋" w:cs="仿宋"/>
                <w:color w:val="000000" w:themeColor="text1"/>
                <w:spacing w:val="-20"/>
                <w:kern w:val="0"/>
                <w:sz w:val="24"/>
                <w:szCs w:val="24"/>
                <w:highlight w:val="none"/>
                <w14:textFill>
                  <w14:solidFill>
                    <w14:schemeClr w14:val="tx1"/>
                  </w14:solidFill>
                </w14:textFill>
              </w:rPr>
            </w:pPr>
            <w:r>
              <w:rPr>
                <w:rFonts w:hint="eastAsia" w:ascii="仿宋" w:hAnsi="仿宋" w:eastAsia="仿宋" w:cs="仿宋"/>
                <w:color w:val="000000" w:themeColor="text1"/>
                <w:spacing w:val="-20"/>
                <w:kern w:val="0"/>
                <w:sz w:val="24"/>
                <w:szCs w:val="24"/>
                <w:highlight w:val="none"/>
                <w14:textFill>
                  <w14:solidFill>
                    <w14:schemeClr w14:val="tx1"/>
                  </w14:solidFill>
                </w14:textFill>
              </w:rPr>
              <w:t xml:space="preserve">法定代表人： </w:t>
            </w:r>
          </w:p>
        </w:tc>
        <w:tc>
          <w:tcPr>
            <w:tcW w:w="4202" w:type="dxa"/>
            <w:noWrap w:val="0"/>
            <w:vAlign w:val="center"/>
          </w:tcPr>
          <w:p w14:paraId="2C6A977B">
            <w:pPr>
              <w:keepNext w:val="0"/>
              <w:keepLines w:val="0"/>
              <w:suppressLineNumbers w:val="0"/>
              <w:autoSpaceDE w:val="0"/>
              <w:autoSpaceDN w:val="0"/>
              <w:adjustRightInd w:val="0"/>
              <w:spacing w:before="0" w:beforeAutospacing="0" w:after="0" w:afterAutospacing="0"/>
              <w:ind w:left="0" w:right="0"/>
              <w:rPr>
                <w:rFonts w:hint="eastAsia" w:ascii="仿宋" w:hAnsi="仿宋" w:eastAsia="仿宋" w:cs="仿宋"/>
                <w:color w:val="000000" w:themeColor="text1"/>
                <w:spacing w:val="-20"/>
                <w:kern w:val="0"/>
                <w:sz w:val="24"/>
                <w:szCs w:val="24"/>
                <w:highlight w:val="none"/>
                <w14:textFill>
                  <w14:solidFill>
                    <w14:schemeClr w14:val="tx1"/>
                  </w14:solidFill>
                </w14:textFill>
              </w:rPr>
            </w:pPr>
            <w:r>
              <w:rPr>
                <w:rFonts w:hint="eastAsia" w:ascii="仿宋" w:hAnsi="仿宋" w:eastAsia="仿宋" w:cs="仿宋"/>
                <w:color w:val="000000" w:themeColor="text1"/>
                <w:spacing w:val="-20"/>
                <w:kern w:val="0"/>
                <w:sz w:val="24"/>
                <w:szCs w:val="24"/>
                <w:highlight w:val="none"/>
                <w14:textFill>
                  <w14:solidFill>
                    <w14:schemeClr w14:val="tx1"/>
                  </w14:solidFill>
                </w14:textFill>
              </w:rPr>
              <w:t>法定代表人：</w:t>
            </w:r>
          </w:p>
        </w:tc>
      </w:tr>
      <w:tr w14:paraId="58428361">
        <w:tblPrEx>
          <w:tblCellMar>
            <w:top w:w="0" w:type="dxa"/>
            <w:left w:w="108" w:type="dxa"/>
            <w:bottom w:w="0" w:type="dxa"/>
            <w:right w:w="108" w:type="dxa"/>
          </w:tblCellMar>
        </w:tblPrEx>
        <w:trPr>
          <w:trHeight w:val="533" w:hRule="exact"/>
          <w:jc w:val="center"/>
        </w:trPr>
        <w:tc>
          <w:tcPr>
            <w:tcW w:w="4201" w:type="dxa"/>
            <w:noWrap w:val="0"/>
            <w:vAlign w:val="center"/>
          </w:tcPr>
          <w:p w14:paraId="5602A341">
            <w:pPr>
              <w:keepNext w:val="0"/>
              <w:keepLines w:val="0"/>
              <w:suppressLineNumbers w:val="0"/>
              <w:autoSpaceDE w:val="0"/>
              <w:autoSpaceDN w:val="0"/>
              <w:adjustRightInd w:val="0"/>
              <w:spacing w:before="0" w:beforeAutospacing="0" w:after="0" w:afterAutospacing="0"/>
              <w:ind w:left="0" w:right="0"/>
              <w:rPr>
                <w:rFonts w:hint="eastAsia" w:ascii="仿宋" w:hAnsi="仿宋" w:eastAsia="仿宋" w:cs="仿宋"/>
                <w:color w:val="000000" w:themeColor="text1"/>
                <w:spacing w:val="-20"/>
                <w:kern w:val="0"/>
                <w:sz w:val="24"/>
                <w:szCs w:val="24"/>
                <w:highlight w:val="none"/>
                <w14:textFill>
                  <w14:solidFill>
                    <w14:schemeClr w14:val="tx1"/>
                  </w14:solidFill>
                </w14:textFill>
              </w:rPr>
            </w:pPr>
            <w:r>
              <w:rPr>
                <w:rFonts w:hint="eastAsia" w:ascii="仿宋" w:hAnsi="仿宋" w:eastAsia="仿宋" w:cs="仿宋"/>
                <w:color w:val="000000" w:themeColor="text1"/>
                <w:spacing w:val="-20"/>
                <w:kern w:val="0"/>
                <w:sz w:val="24"/>
                <w:szCs w:val="24"/>
                <w:highlight w:val="none"/>
                <w14:textFill>
                  <w14:solidFill>
                    <w14:schemeClr w14:val="tx1"/>
                  </w14:solidFill>
                </w14:textFill>
              </w:rPr>
              <w:t>被授权代表：</w:t>
            </w:r>
          </w:p>
        </w:tc>
        <w:tc>
          <w:tcPr>
            <w:tcW w:w="4202" w:type="dxa"/>
            <w:noWrap w:val="0"/>
            <w:vAlign w:val="center"/>
          </w:tcPr>
          <w:p w14:paraId="67329555">
            <w:pPr>
              <w:keepNext w:val="0"/>
              <w:keepLines w:val="0"/>
              <w:suppressLineNumbers w:val="0"/>
              <w:autoSpaceDE w:val="0"/>
              <w:autoSpaceDN w:val="0"/>
              <w:adjustRightInd w:val="0"/>
              <w:spacing w:before="0" w:beforeAutospacing="0" w:after="0" w:afterAutospacing="0"/>
              <w:ind w:left="0" w:right="0"/>
              <w:rPr>
                <w:rFonts w:hint="eastAsia" w:ascii="仿宋" w:hAnsi="仿宋" w:eastAsia="仿宋" w:cs="仿宋"/>
                <w:color w:val="000000" w:themeColor="text1"/>
                <w:spacing w:val="-20"/>
                <w:kern w:val="0"/>
                <w:sz w:val="24"/>
                <w:szCs w:val="24"/>
                <w:highlight w:val="none"/>
                <w14:textFill>
                  <w14:solidFill>
                    <w14:schemeClr w14:val="tx1"/>
                  </w14:solidFill>
                </w14:textFill>
              </w:rPr>
            </w:pPr>
            <w:r>
              <w:rPr>
                <w:rFonts w:hint="eastAsia" w:ascii="仿宋" w:hAnsi="仿宋" w:eastAsia="仿宋" w:cs="仿宋"/>
                <w:color w:val="000000" w:themeColor="text1"/>
                <w:spacing w:val="-20"/>
                <w:kern w:val="0"/>
                <w:sz w:val="24"/>
                <w:szCs w:val="24"/>
                <w:highlight w:val="none"/>
                <w14:textFill>
                  <w14:solidFill>
                    <w14:schemeClr w14:val="tx1"/>
                  </w14:solidFill>
                </w14:textFill>
              </w:rPr>
              <w:t>被授权代表：</w:t>
            </w:r>
          </w:p>
        </w:tc>
      </w:tr>
      <w:tr w14:paraId="5DD8A5E9">
        <w:tblPrEx>
          <w:tblCellMar>
            <w:top w:w="0" w:type="dxa"/>
            <w:left w:w="108" w:type="dxa"/>
            <w:bottom w:w="0" w:type="dxa"/>
            <w:right w:w="108" w:type="dxa"/>
          </w:tblCellMar>
        </w:tblPrEx>
        <w:trPr>
          <w:trHeight w:val="567" w:hRule="exact"/>
          <w:jc w:val="center"/>
        </w:trPr>
        <w:tc>
          <w:tcPr>
            <w:tcW w:w="4201" w:type="dxa"/>
            <w:noWrap w:val="0"/>
            <w:vAlign w:val="center"/>
          </w:tcPr>
          <w:p w14:paraId="42BD9500">
            <w:pPr>
              <w:keepNext w:val="0"/>
              <w:keepLines w:val="0"/>
              <w:suppressLineNumbers w:val="0"/>
              <w:autoSpaceDE w:val="0"/>
              <w:autoSpaceDN w:val="0"/>
              <w:adjustRightInd w:val="0"/>
              <w:spacing w:before="0" w:beforeAutospacing="0" w:after="0" w:afterAutospacing="0"/>
              <w:ind w:left="0" w:right="0"/>
              <w:rPr>
                <w:rFonts w:hint="eastAsia" w:ascii="仿宋" w:hAnsi="仿宋" w:eastAsia="仿宋" w:cs="仿宋"/>
                <w:color w:val="000000" w:themeColor="text1"/>
                <w:spacing w:val="-20"/>
                <w:kern w:val="0"/>
                <w:sz w:val="24"/>
                <w:szCs w:val="24"/>
                <w:highlight w:val="none"/>
                <w14:textFill>
                  <w14:solidFill>
                    <w14:schemeClr w14:val="tx1"/>
                  </w14:solidFill>
                </w14:textFill>
              </w:rPr>
            </w:pPr>
            <w:r>
              <w:rPr>
                <w:rFonts w:hint="eastAsia" w:ascii="仿宋" w:hAnsi="仿宋" w:eastAsia="仿宋" w:cs="仿宋"/>
                <w:color w:val="000000" w:themeColor="text1"/>
                <w:spacing w:val="-20"/>
                <w:kern w:val="0"/>
                <w:sz w:val="24"/>
                <w:szCs w:val="24"/>
                <w:highlight w:val="none"/>
                <w14:textFill>
                  <w14:solidFill>
                    <w14:schemeClr w14:val="tx1"/>
                  </w14:solidFill>
                </w14:textFill>
              </w:rPr>
              <w:t>经办人：</w:t>
            </w:r>
          </w:p>
        </w:tc>
        <w:tc>
          <w:tcPr>
            <w:tcW w:w="4202" w:type="dxa"/>
            <w:noWrap w:val="0"/>
            <w:vAlign w:val="center"/>
          </w:tcPr>
          <w:p w14:paraId="4DBCB6EB">
            <w:pPr>
              <w:keepNext w:val="0"/>
              <w:keepLines w:val="0"/>
              <w:suppressLineNumbers w:val="0"/>
              <w:autoSpaceDE w:val="0"/>
              <w:autoSpaceDN w:val="0"/>
              <w:adjustRightInd w:val="0"/>
              <w:spacing w:before="0" w:beforeAutospacing="0" w:after="0" w:afterAutospacing="0"/>
              <w:ind w:left="0" w:right="0"/>
              <w:rPr>
                <w:rFonts w:hint="eastAsia" w:ascii="仿宋" w:hAnsi="仿宋" w:eastAsia="仿宋" w:cs="仿宋"/>
                <w:color w:val="000000" w:themeColor="text1"/>
                <w:spacing w:val="-20"/>
                <w:kern w:val="0"/>
                <w:sz w:val="24"/>
                <w:szCs w:val="24"/>
                <w:highlight w:val="none"/>
                <w14:textFill>
                  <w14:solidFill>
                    <w14:schemeClr w14:val="tx1"/>
                  </w14:solidFill>
                </w14:textFill>
              </w:rPr>
            </w:pPr>
            <w:r>
              <w:rPr>
                <w:rFonts w:hint="eastAsia" w:ascii="仿宋" w:hAnsi="仿宋" w:eastAsia="仿宋" w:cs="仿宋"/>
                <w:color w:val="000000" w:themeColor="text1"/>
                <w:spacing w:val="-20"/>
                <w:kern w:val="0"/>
                <w:sz w:val="24"/>
                <w:szCs w:val="24"/>
                <w:highlight w:val="none"/>
                <w14:textFill>
                  <w14:solidFill>
                    <w14:schemeClr w14:val="tx1"/>
                  </w14:solidFill>
                </w14:textFill>
              </w:rPr>
              <w:t>经办人：</w:t>
            </w:r>
          </w:p>
        </w:tc>
      </w:tr>
      <w:tr w14:paraId="64FD4FF1">
        <w:tblPrEx>
          <w:tblCellMar>
            <w:top w:w="0" w:type="dxa"/>
            <w:left w:w="108" w:type="dxa"/>
            <w:bottom w:w="0" w:type="dxa"/>
            <w:right w:w="108" w:type="dxa"/>
          </w:tblCellMar>
        </w:tblPrEx>
        <w:trPr>
          <w:trHeight w:val="567" w:hRule="exact"/>
          <w:jc w:val="center"/>
        </w:trPr>
        <w:tc>
          <w:tcPr>
            <w:tcW w:w="4201" w:type="dxa"/>
            <w:noWrap w:val="0"/>
            <w:vAlign w:val="center"/>
          </w:tcPr>
          <w:p w14:paraId="7970887A">
            <w:pPr>
              <w:keepNext w:val="0"/>
              <w:keepLines w:val="0"/>
              <w:suppressLineNumbers w:val="0"/>
              <w:autoSpaceDE w:val="0"/>
              <w:autoSpaceDN w:val="0"/>
              <w:adjustRightInd w:val="0"/>
              <w:spacing w:before="0" w:beforeAutospacing="0" w:after="0" w:afterAutospacing="0"/>
              <w:ind w:left="0" w:right="0"/>
              <w:rPr>
                <w:rFonts w:hint="eastAsia" w:ascii="仿宋" w:hAnsi="仿宋" w:eastAsia="仿宋" w:cs="仿宋"/>
                <w:color w:val="000000" w:themeColor="text1"/>
                <w:spacing w:val="-20"/>
                <w:kern w:val="0"/>
                <w:sz w:val="24"/>
                <w:szCs w:val="24"/>
                <w:highlight w:val="none"/>
                <w14:textFill>
                  <w14:solidFill>
                    <w14:schemeClr w14:val="tx1"/>
                  </w14:solidFill>
                </w14:textFill>
              </w:rPr>
            </w:pPr>
            <w:r>
              <w:rPr>
                <w:rFonts w:hint="eastAsia" w:ascii="仿宋" w:hAnsi="仿宋" w:eastAsia="仿宋" w:cs="仿宋"/>
                <w:color w:val="000000" w:themeColor="text1"/>
                <w:spacing w:val="-20"/>
                <w:kern w:val="0"/>
                <w:sz w:val="24"/>
                <w:szCs w:val="24"/>
                <w:highlight w:val="none"/>
                <w14:textFill>
                  <w14:solidFill>
                    <w14:schemeClr w14:val="tx1"/>
                  </w14:solidFill>
                </w14:textFill>
              </w:rPr>
              <w:t>日期：</w:t>
            </w:r>
          </w:p>
        </w:tc>
        <w:tc>
          <w:tcPr>
            <w:tcW w:w="4202" w:type="dxa"/>
            <w:noWrap w:val="0"/>
            <w:vAlign w:val="center"/>
          </w:tcPr>
          <w:p w14:paraId="41E2010A">
            <w:pPr>
              <w:keepNext w:val="0"/>
              <w:keepLines w:val="0"/>
              <w:suppressLineNumbers w:val="0"/>
              <w:autoSpaceDE w:val="0"/>
              <w:autoSpaceDN w:val="0"/>
              <w:adjustRightInd w:val="0"/>
              <w:spacing w:before="0" w:beforeAutospacing="0" w:after="0" w:afterAutospacing="0"/>
              <w:ind w:left="0" w:right="0"/>
              <w:rPr>
                <w:rFonts w:hint="eastAsia" w:ascii="仿宋" w:hAnsi="仿宋" w:eastAsia="仿宋" w:cs="仿宋"/>
                <w:color w:val="000000" w:themeColor="text1"/>
                <w:spacing w:val="-20"/>
                <w:kern w:val="0"/>
                <w:sz w:val="24"/>
                <w:szCs w:val="24"/>
                <w:highlight w:val="none"/>
                <w14:textFill>
                  <w14:solidFill>
                    <w14:schemeClr w14:val="tx1"/>
                  </w14:solidFill>
                </w14:textFill>
              </w:rPr>
            </w:pPr>
            <w:r>
              <w:rPr>
                <w:rFonts w:hint="eastAsia" w:ascii="仿宋" w:hAnsi="仿宋" w:eastAsia="仿宋" w:cs="仿宋"/>
                <w:color w:val="000000" w:themeColor="text1"/>
                <w:spacing w:val="-20"/>
                <w:kern w:val="0"/>
                <w:sz w:val="24"/>
                <w:szCs w:val="24"/>
                <w:highlight w:val="none"/>
                <w14:textFill>
                  <w14:solidFill>
                    <w14:schemeClr w14:val="tx1"/>
                  </w14:solidFill>
                </w14:textFill>
              </w:rPr>
              <w:t>日期：</w:t>
            </w:r>
          </w:p>
        </w:tc>
      </w:tr>
    </w:tbl>
    <w:p w14:paraId="6D66A0E2">
      <w:pPr>
        <w:spacing w:line="360" w:lineRule="auto"/>
        <w:jc w:val="center"/>
        <w:rPr>
          <w:rFonts w:hint="eastAsia" w:ascii="宋体" w:hAnsi="宋体" w:eastAsia="宋体" w:cs="宋体"/>
          <w:b/>
          <w:color w:val="000000" w:themeColor="text1"/>
          <w:sz w:val="36"/>
          <w:szCs w:val="36"/>
          <w:highlight w:val="none"/>
          <w14:textFill>
            <w14:solidFill>
              <w14:schemeClr w14:val="tx1"/>
            </w14:solidFill>
          </w14:textFill>
        </w:rPr>
      </w:pPr>
    </w:p>
    <w:p w14:paraId="550BC7DD">
      <w:pPr>
        <w:spacing w:line="360" w:lineRule="auto"/>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（此后无正文）</w:t>
      </w:r>
    </w:p>
    <w:p w14:paraId="6EF02773">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7F482">
    <w:pPr>
      <w:spacing w:line="237" w:lineRule="auto"/>
      <w:ind w:left="14"/>
      <w:rPr>
        <w:rFonts w:ascii="楷体" w:hAnsi="楷体" w:eastAsia="楷体" w:cs="楷体"/>
        <w:sz w:val="19"/>
        <w:szCs w:val="19"/>
      </w:rPr>
    </w:pPr>
    <w:r>
      <w:rPr>
        <w:sz w:val="19"/>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0F0EF73">
                          <w:pPr>
                            <w:pStyle w:val="4"/>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00F0EF73">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BE526">
    <w:pPr>
      <w:spacing w:line="201" w:lineRule="auto"/>
      <w:rPr>
        <w:rFonts w:ascii="楷体" w:hAnsi="楷体" w:eastAsia="楷体" w:cs="楷体"/>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2186DA"/>
    <w:multiLevelType w:val="singleLevel"/>
    <w:tmpl w:val="FD2186D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192B17"/>
    <w:rsid w:val="47192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643" w:firstLineChars="200"/>
      <w:jc w:val="left"/>
    </w:pPr>
    <w:rPr>
      <w:rFonts w:ascii="宋体" w:hAnsi="宋体" w:eastAsia="宋体" w:cs="宋体"/>
      <w:kern w:val="2"/>
      <w:sz w:val="24"/>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eastAsia="宋体" w:cs="Arial"/>
      <w:b/>
      <w:bCs/>
      <w:sz w:val="32"/>
      <w:szCs w:val="32"/>
    </w:rPr>
  </w:style>
  <w:style w:type="paragraph" w:styleId="3">
    <w:name w:val="Normal Indent"/>
    <w:basedOn w:val="1"/>
    <w:qFormat/>
    <w:uiPriority w:val="0"/>
  </w:style>
  <w:style w:type="paragraph" w:styleId="4">
    <w:name w:val="footer"/>
    <w:basedOn w:val="1"/>
    <w:qFormat/>
    <w:uiPriority w:val="99"/>
    <w:pPr>
      <w:tabs>
        <w:tab w:val="center" w:pos="4153"/>
        <w:tab w:val="right" w:pos="8306"/>
      </w:tabs>
      <w:snapToGrid w:val="0"/>
      <w:jc w:val="left"/>
    </w:pPr>
    <w:rPr>
      <w:sz w:val="18"/>
      <w:szCs w:val="18"/>
    </w:rPr>
  </w:style>
  <w:style w:type="character" w:styleId="7">
    <w:name w:val="Strong"/>
    <w:basedOn w:val="6"/>
    <w:qFormat/>
    <w:uiPriority w:val="22"/>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2026-07-08T09:36:00Z</dcterms:created>
  <dc:creator>且听风吟</dc:creator>
  <cp:lastModifiedBy>且听风吟</cp:lastModifiedBy>
  <dcterms:modified xsi:type="dcterms:W3CDTF">2026-07-08T09:36:41Z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6F07241C039A422FA89B05FDBC0356E8_11</vt:lpwstr>
  </property>
  <property fmtid="{D5CDD505-2E9C-101B-9397-08002B2CF9AE}" pid="4" name="KSOTemplateDocerSaveRecord">
    <vt:lpwstr>eyJoZGlkIjoiY2Q3ZTliN2Y5N2Y1MTdkODZlOTIyYTE4ZGRjZmIwNmIiLCJ1c2VySWQiOiI0MjE0NDYxMDMifQ==</vt:lpwstr>
  </property>
</Properties>
</file>