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版本号：HYTF-20260502420260708001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法律顾问服务项目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HYTF-202605024</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法律顾问服务项目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HYTF-202605024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法律顾问服务项目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法律顾问服务，1项。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029-89284433-606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文件和（发改办价格[2011]534号）文件规定的标准，按定额人民币伍仟元整（￥5000元）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法律顾问服务，1项。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法律顾问服务项目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标的名称：法律顾问服务项目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为进一步落实法治政府建设要求，筑牢秦岭生态环境保护法治防线，通过聘用专业法律顾问提供全方位法律服务，牢牢掌握秦岭生态保护执法司法主动权，实现在复杂执法场景和多元法律需求中的规范引领效应。</w:t>
            </w:r>
          </w:p>
          <w:p>
            <w:pPr>
              <w:pStyle w:val="null3"/>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为西安市秦岭生态环境保护管理局提供全方位法律服务保障。</w:t>
            </w:r>
          </w:p>
          <w:p>
            <w:pPr>
              <w:pStyle w:val="null3"/>
              <w:ind w:firstLine="480"/>
            </w:pPr>
            <w:r>
              <w:rPr>
                <w:rFonts w:ascii="仿宋_GB2312" w:hAnsi="仿宋_GB2312" w:cs="仿宋_GB2312" w:eastAsia="仿宋_GB2312"/>
                <w:sz w:val="24"/>
              </w:rPr>
              <w:t>（一）提供日常法律咨询</w:t>
            </w:r>
          </w:p>
          <w:p>
            <w:pPr>
              <w:pStyle w:val="null3"/>
              <w:ind w:firstLine="480"/>
            </w:pPr>
            <w:r>
              <w:rPr>
                <w:rFonts w:ascii="仿宋_GB2312" w:hAnsi="仿宋_GB2312" w:cs="仿宋_GB2312" w:eastAsia="仿宋_GB2312"/>
                <w:sz w:val="24"/>
              </w:rPr>
              <w:t>1、协助单位处理法律事务，提供相应的咨询、调查、论证等全方位法律服务,助力单位依法合规处理各类事务。</w:t>
            </w:r>
          </w:p>
          <w:p>
            <w:pPr>
              <w:pStyle w:val="null3"/>
              <w:ind w:firstLine="480"/>
            </w:pPr>
            <w:r>
              <w:rPr>
                <w:rFonts w:ascii="仿宋_GB2312" w:hAnsi="仿宋_GB2312" w:cs="仿宋_GB2312" w:eastAsia="仿宋_GB2312"/>
                <w:sz w:val="24"/>
              </w:rPr>
              <w:t>2、列席单位重大业务会议，现场接受法律咨询，并及时发现涉及到的法律问题，结合单位实际情况，提出切实可行、合法合规的参考意见，规避决策风险。</w:t>
            </w:r>
          </w:p>
          <w:p>
            <w:pPr>
              <w:pStyle w:val="null3"/>
              <w:ind w:firstLine="480"/>
            </w:pPr>
            <w:r>
              <w:rPr>
                <w:rFonts w:ascii="仿宋_GB2312" w:hAnsi="仿宋_GB2312" w:cs="仿宋_GB2312" w:eastAsia="仿宋_GB2312"/>
                <w:sz w:val="24"/>
              </w:rPr>
              <w:t>3、为单位行政执法、行政处罚、行政听证、行政诉讼、民事诉讼事务提供常规法律咨询，参与重大事项的研究，开展法律论证等工作，并对行政或民事纠纷等案件的诉讼或司法前处理程序，进行沟通、作出处置方案。</w:t>
            </w:r>
          </w:p>
          <w:p>
            <w:pPr>
              <w:pStyle w:val="null3"/>
              <w:ind w:firstLine="480"/>
            </w:pPr>
            <w:r>
              <w:rPr>
                <w:rFonts w:ascii="仿宋_GB2312" w:hAnsi="仿宋_GB2312" w:cs="仿宋_GB2312" w:eastAsia="仿宋_GB2312"/>
                <w:sz w:val="24"/>
              </w:rPr>
              <w:t>4、为单位重大决策提供全程法律意见支持，在决策前开展合法性审查、风险评估，决策中提供法律指导，决策后协助完善相关配套措施，确保重大决策符合法律法规及政策要求，从源头防范法律风险。</w:t>
            </w:r>
          </w:p>
          <w:p>
            <w:pPr>
              <w:pStyle w:val="null3"/>
              <w:ind w:firstLine="480"/>
            </w:pPr>
            <w:r>
              <w:rPr>
                <w:rFonts w:ascii="仿宋_GB2312" w:hAnsi="仿宋_GB2312" w:cs="仿宋_GB2312" w:eastAsia="仿宋_GB2312"/>
                <w:sz w:val="24"/>
              </w:rPr>
              <w:t>（二）出具各类法律文书</w:t>
            </w:r>
          </w:p>
          <w:p>
            <w:pPr>
              <w:pStyle w:val="null3"/>
              <w:ind w:firstLine="480"/>
            </w:pPr>
            <w:r>
              <w:rPr>
                <w:rFonts w:ascii="仿宋_GB2312" w:hAnsi="仿宋_GB2312" w:cs="仿宋_GB2312" w:eastAsia="仿宋_GB2312"/>
                <w:sz w:val="24"/>
              </w:rPr>
              <w:t>1、协助单位审查、草拟、修改和制定各类合同、协议及其他法律文书，严格把控文书合法性、严谨性和可执行性，合同审查意见确保在24小时内作出书面反馈，特别紧急事项的审查意见在6小时内反馈，保障文书规范有效。</w:t>
            </w:r>
          </w:p>
          <w:p>
            <w:pPr>
              <w:pStyle w:val="null3"/>
              <w:ind w:firstLine="480"/>
            </w:pPr>
            <w:r>
              <w:rPr>
                <w:rFonts w:ascii="仿宋_GB2312" w:hAnsi="仿宋_GB2312" w:cs="仿宋_GB2312" w:eastAsia="仿宋_GB2312"/>
                <w:sz w:val="24"/>
              </w:rPr>
              <w:t>2、根据单位实际需求，依法出具律师函、法律意见书等各类法律文书，负责法律文书的签署、送达及接收工作，规范文书流转流程，确保法律文书的法律效力和送达效果。</w:t>
            </w:r>
          </w:p>
          <w:p>
            <w:pPr>
              <w:pStyle w:val="null3"/>
              <w:ind w:firstLine="480"/>
            </w:pPr>
            <w:r>
              <w:rPr>
                <w:rFonts w:ascii="仿宋_GB2312" w:hAnsi="仿宋_GB2312" w:cs="仿宋_GB2312" w:eastAsia="仿宋_GB2312"/>
                <w:sz w:val="24"/>
              </w:rPr>
              <w:t>3、参与法律法规规章草案、党内法规草案和行政规范性文件、政策文件送审稿的起草，并提供专业的法律咨询服务，开展合法性论证，出具明确、具体的法律意见，助力完善相关文件内容，确保文件合法合规、贴合实际。</w:t>
            </w:r>
          </w:p>
          <w:p>
            <w:pPr>
              <w:pStyle w:val="null3"/>
              <w:ind w:firstLine="480"/>
            </w:pPr>
            <w:r>
              <w:rPr>
                <w:rFonts w:ascii="仿宋_GB2312" w:hAnsi="仿宋_GB2312" w:cs="仿宋_GB2312" w:eastAsia="仿宋_GB2312"/>
                <w:sz w:val="24"/>
              </w:rPr>
              <w:t>（三）完善执法体系建设</w:t>
            </w:r>
          </w:p>
          <w:p>
            <w:pPr>
              <w:pStyle w:val="null3"/>
              <w:ind w:firstLine="480"/>
            </w:pPr>
            <w:r>
              <w:rPr>
                <w:rFonts w:ascii="仿宋_GB2312" w:hAnsi="仿宋_GB2312" w:cs="仿宋_GB2312" w:eastAsia="仿宋_GB2312"/>
                <w:sz w:val="24"/>
              </w:rPr>
              <w:t>1、根据单位的需要，配合单位进行法制宣传教育，提高干部职工的法律意识。强化执法人员的程序意识与证据意识，防范程序违法。</w:t>
            </w:r>
          </w:p>
          <w:p>
            <w:pPr>
              <w:pStyle w:val="null3"/>
              <w:ind w:firstLine="480"/>
            </w:pPr>
            <w:r>
              <w:rPr>
                <w:rFonts w:ascii="仿宋_GB2312" w:hAnsi="仿宋_GB2312" w:cs="仿宋_GB2312" w:eastAsia="仿宋_GB2312"/>
                <w:sz w:val="24"/>
              </w:rPr>
              <w:t>2、定期开展专题法律讲座，内容紧密贴合单位工作实际，涵盖新法新规解读、行政执法规范、诉讼纠纷应对、证据收集与固定、执法风险防范等重点内容，通过案例分析、实务讲解等方式，提升执法人员的专业能力和依法执法水平。</w:t>
            </w:r>
          </w:p>
          <w:p>
            <w:pPr>
              <w:pStyle w:val="null3"/>
              <w:ind w:firstLine="480"/>
            </w:pPr>
            <w:r>
              <w:rPr>
                <w:rFonts w:ascii="仿宋_GB2312" w:hAnsi="仿宋_GB2312" w:cs="仿宋_GB2312" w:eastAsia="仿宋_GB2312"/>
                <w:sz w:val="24"/>
              </w:rPr>
              <w:t>3、及时收集、整理单位所需的法律、法规、司法解释及相关政策文件，提供精准的法律信息支持，同时协助单位建立健全法律文书管理制度，规范文书的起草、审查、归档、保管等环节，提升文书管理规范化水平。</w:t>
            </w:r>
          </w:p>
          <w:p>
            <w:pPr>
              <w:pStyle w:val="null3"/>
              <w:ind w:firstLine="480"/>
            </w:pPr>
            <w:r>
              <w:rPr>
                <w:rFonts w:ascii="仿宋_GB2312" w:hAnsi="仿宋_GB2312" w:cs="仿宋_GB2312" w:eastAsia="仿宋_GB2312"/>
                <w:sz w:val="24"/>
              </w:rPr>
              <w:t>（四）其他法律服务</w:t>
            </w:r>
          </w:p>
          <w:p>
            <w:pPr>
              <w:pStyle w:val="null3"/>
              <w:ind w:firstLine="480"/>
            </w:pPr>
            <w:r>
              <w:rPr>
                <w:rFonts w:ascii="仿宋_GB2312" w:hAnsi="仿宋_GB2312" w:cs="仿宋_GB2312" w:eastAsia="仿宋_GB2312"/>
                <w:sz w:val="24"/>
                <w:color w:val="000000"/>
              </w:rPr>
              <w:t>其他根据需求作出的法律服务</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b/>
              </w:rPr>
              <w:t>三、商务要求</w:t>
            </w:r>
          </w:p>
          <w:p>
            <w:pPr>
              <w:pStyle w:val="null3"/>
            </w:pPr>
            <w:r>
              <w:rPr>
                <w:rFonts w:ascii="仿宋_GB2312" w:hAnsi="仿宋_GB2312" w:cs="仿宋_GB2312" w:eastAsia="仿宋_GB2312"/>
                <w:sz w:val="24"/>
              </w:rPr>
              <w:t>（一）服务期限：自合同签订之日起一年。</w:t>
            </w:r>
          </w:p>
          <w:p>
            <w:pPr>
              <w:pStyle w:val="null3"/>
            </w:pPr>
            <w:r>
              <w:rPr>
                <w:rFonts w:ascii="仿宋_GB2312" w:hAnsi="仿宋_GB2312" w:cs="仿宋_GB2312" w:eastAsia="仿宋_GB2312"/>
                <w:sz w:val="24"/>
              </w:rPr>
              <w:t>（二）付款方式：服务费用分贰次支付。合同签订且供应商开具增值税发票后的</w:t>
            </w:r>
            <w:r>
              <w:rPr>
                <w:rFonts w:ascii="仿宋_GB2312" w:hAnsi="仿宋_GB2312" w:cs="仿宋_GB2312" w:eastAsia="仿宋_GB2312"/>
                <w:sz w:val="24"/>
              </w:rPr>
              <w:t>30个日历日内，以银行转账方式向其支付合同总费用70%；项目结束后，供应商出具工作评估报告后30个日历日内，付清30%尾款。</w:t>
            </w:r>
          </w:p>
          <w:p>
            <w:pPr>
              <w:pStyle w:val="null3"/>
            </w:pPr>
            <w:r>
              <w:rPr>
                <w:rFonts w:ascii="仿宋_GB2312" w:hAnsi="仿宋_GB2312" w:cs="仿宋_GB2312" w:eastAsia="仿宋_GB2312"/>
                <w:sz w:val="24"/>
              </w:rPr>
              <w:t>（三）验收条件：完成合同约定的各类事项。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满足磋商文件及合同条款要求。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（一）服务期满后由乙方进行工作总结，出具工作评估报告并对相关内容承担责任。 （二）乙方向甲方提交服务实施过程中的所有资料，以便甲方日后管理。 （三）验收依据：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预付款，服务费用分贰次支付。合同签订且供应商开具增值税发票后，达到付款条件起30个工作日内，支付合同总金额的70.0%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进度款，项目结束后，供应商出具工作评估报告后，达到付款条件起30个工作日内，支付合同总金额的30.0%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法律顾问服务项目”对应的中小企业划分标准所属行业为：租赁和商务服务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提出针对本项目的总体服务方案，内容包括：①服务分析及目标；②服务理念及特色；③服务计划安排。 二、评审标准 方案内容完整、全面，切合本项目实际情况及实施要求，内容与要点相符、每个要点均有展开详细的阐述且能够适用于本项目的计6分；评审内容每缺一项扣2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本表评分标准下述所有对于“缺陷”内容的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针对本项目制定详细的法律服务实施方案，方案包括①日常法律咨询；②出具各类法律文书；③完善执法体系建设；④其他法律服务。 二、评审标准 方案内容完整、全面，切合本项目实际情况及实施要求，内容与要点相符、每个要点均有展开详细的阐述且能够适用于本项目的计12分；评审内容每缺一项扣3分，扣完为止；评审内容有缺陷的每任意一项缺陷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工作流程及服务进度保障</w:t>
            </w:r>
          </w:p>
        </w:tc>
        <w:tc>
          <w:tcPr>
            <w:tcW w:type="dxa" w:w="2492"/>
          </w:tcPr>
          <w:p>
            <w:pPr>
              <w:pStyle w:val="null3"/>
            </w:pPr>
            <w:r>
              <w:rPr>
                <w:rFonts w:ascii="仿宋_GB2312" w:hAnsi="仿宋_GB2312" w:cs="仿宋_GB2312" w:eastAsia="仿宋_GB2312"/>
              </w:rPr>
              <w:t>一、评审内容 根据不同法律服务需求，结合项目特点，制定合理的工作流程及服务进度保障方案，确保法律服务的时效性，包括①法律咨询的工作流程及服务进度保障方案；②出具法律文书的工作流程及服务进度保障方案；③其他法律服务的工作流程及服务进度保障方案。 二、评审标准 方案内容完整、全面，切合本项目实际情况及实施要求，内容与要点相符、每个要点均有展开详细的阐述且能够适用于本项目的计6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针对本项目制定详细的质量保证措施，措施内容包括①质量控制制度；②质量控制标准；③质量控制程序。 二、评审标准 方案内容完整、全面，切合本项目实际情况及实施要求，内容与要点相符、每个要点均有展开详细的阐述且能够适用于本项目的计6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重难点分析及风险控制措施</w:t>
            </w:r>
          </w:p>
        </w:tc>
        <w:tc>
          <w:tcPr>
            <w:tcW w:type="dxa" w:w="2492"/>
          </w:tcPr>
          <w:p>
            <w:pPr>
              <w:pStyle w:val="null3"/>
            </w:pPr>
            <w:r>
              <w:rPr>
                <w:rFonts w:ascii="仿宋_GB2312" w:hAnsi="仿宋_GB2312" w:cs="仿宋_GB2312" w:eastAsia="仿宋_GB2312"/>
              </w:rPr>
              <w:t>根据不同法律服务内容，结合本项目实际情况，提出服务过程中的重难点分析及风险控制措施，包括① 项目实施中的重难点分析；②风险识别及调查方法；③风险化解措施。 每提供一项切合本项目实际情况及实施要求的计2分，满分6分，未提供或不满足本项目实际需求的不计分。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保密制度及措施</w:t>
            </w:r>
          </w:p>
        </w:tc>
        <w:tc>
          <w:tcPr>
            <w:tcW w:type="dxa" w:w="2492"/>
          </w:tcPr>
          <w:p>
            <w:pPr>
              <w:pStyle w:val="null3"/>
            </w:pPr>
            <w:r>
              <w:rPr>
                <w:rFonts w:ascii="仿宋_GB2312" w:hAnsi="仿宋_GB2312" w:cs="仿宋_GB2312" w:eastAsia="仿宋_GB2312"/>
              </w:rPr>
              <w:t>针对本项目制定专项保密制度及措施，包括①保密管理制度；②员工保密管理方案；③保密承诺；④信息泄密的补救措施等。 以上内容每提供一项计1.5分，满分6分，未提供或不满足本项目实际需求的不计分。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根据本项目特点制定档案管理方案，内容包括①档案规划和保管措施；②档案的移交和备案登记措施。 二、评审标准 方案内容完整、全面，切合本项目实际情况及实施要求，内容与要点相符、每个要点均有展开详细的阐述且能够适用于本项目的计6分；评审内容每缺一项扣3分，扣完为止；评审内容有缺陷的每任意一项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针对本项目执法体系建设内容制订培训计划，内容包括①培训计划安排；②培训内容及预期目标。 二、评审标准 培训计划内容完整、全面，切合本项目实际情况及实施要求，内容与要点相符、每个要点均有展开详细的阐述且能够适用于本项目的计4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1、针对本项目提供完整的人员配置清单（清单内容包含：具体人员姓名、年龄、学历、证书、岗位职责、工作业绩和经验、当前分工），提供以上清单中所有内容计3分，不提供或缺项不得分。 2、拟派人员（每1人）具有律师职业资格证书，计1分，此项满分5分。 3、拟派项目负责人满足执业年限≥20年的，计5分；20年＞执业年限≥10年的，计3分；10年＞执业年限≥5年，计1分；其他不得分。有为两家及以上行政机关提供法律服务经验的计2 分。此项满分7分。 （提供相关证明材料。）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1、承诺：接受采购人对本项目服务的考核、监督及管理，定期调研采购人对服务质量的满意度并加以改进，确保服务工作的优质高效，计1 分。无承诺不计分。 2、承诺：上岗人员固定，不随意更换，若出现服务人员因事、病等不能工作的，能及时调整其他服务人员补充，确保服务工作的正常进行，计1 分。无承诺不计分。 3、承诺：储备可调度人员，调度人员可保障临时性工作需要及突发事件处置，计1 分。无承诺不计分。 4、承诺：特殊、紧急事项的根据采购人要求时限及时出具审查意见，完全配合采购人工作要求，计1 分。无承诺不计分。 5、针对法律服务中常见的问题进行梳理，具有良好的解决方案并及时向采购人提出合理化建议或增值服务，每提供一条计1 分，满分4 分。未提供或不满足本项目实际需求的不计分。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供应商提供自2023年1月1日至今（以合同签订时间为准）类似项目业绩，响应文件中附有其业绩证明材料，业绩以合同为依据，每提供一个计2分，满分10分。 （注：响应文件中提供复印件加盖供应商公章）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