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712714D4">
      <w:pPr>
        <w:widowControl/>
        <w:spacing w:line="360" w:lineRule="auto"/>
        <w:ind w:firstLine="240" w:firstLineChars="100"/>
        <w:jc w:val="both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161C995F">
      <w:pPr>
        <w:widowControl/>
        <w:spacing w:line="360" w:lineRule="auto"/>
        <w:ind w:firstLine="241" w:firstLineChars="1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/>
        </w:rPr>
        <w:t>备注：报价明细表列出各项明细合计，合计金额应与报价表的磋商报价一致；报价以元为单位，保留小数点后两位。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26F84A28">
      <w:pPr>
        <w:widowControl/>
        <w:ind w:firstLine="2160" w:firstLineChars="900"/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E7E64"/>
    <w:rsid w:val="1F5E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2026-07-08T01:36:00Z</dcterms:created>
  <dc:creator>四方衡裕</dc:creator>
  <cp:lastModifiedBy>四方衡裕</cp:lastModifiedBy>
  <dcterms:modified xsi:type="dcterms:W3CDTF">2026-07-08T01:37:08Z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2444D3804EB4458C8A24A6B1322676B7_11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