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版本号：SXXDDL-【2026】02620260509001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莲湖区2026年城市“断头路”打通工程设计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SXXDDL-【2026】026</w:t>
      </w:r>
      <w:r>
        <w:br/>
      </w:r>
      <w:r>
        <w:br/>
      </w:r>
      <w:r>
        <w:br/>
      </w:r>
    </w:p>
    <w:p>
      <w:pPr>
        <w:pStyle w:val="null3"/>
        <w:jc w:val="center"/>
        <w:outlineLvl w:val="2"/>
      </w:pPr>
      <w:r>
        <w:rPr>
          <w:rFonts w:ascii="仿宋_GB2312" w:hAnsi="仿宋_GB2312" w:cs="仿宋_GB2312" w:eastAsia="仿宋_GB2312"/>
          <w:sz w:val="28"/>
          <w:b/>
        </w:rPr>
        <w:t>西安市莲湖区住房和城市建设局</w:t>
      </w:r>
    </w:p>
    <w:p>
      <w:pPr>
        <w:pStyle w:val="null3"/>
        <w:jc w:val="center"/>
        <w:outlineLvl w:val="2"/>
      </w:pPr>
      <w:r>
        <w:rPr>
          <w:rFonts w:ascii="仿宋_GB2312" w:hAnsi="仿宋_GB2312" w:cs="仿宋_GB2312" w:eastAsia="仿宋_GB2312"/>
          <w:sz w:val="28"/>
          <w:b/>
        </w:rPr>
        <w:t>陕西希地工程项目管理有限公司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陕西希地工程项目管理有限公司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西安市莲湖区住房和城市建设局</w:t>
      </w:r>
      <w:r>
        <w:rPr>
          <w:rFonts w:ascii="仿宋_GB2312" w:hAnsi="仿宋_GB2312" w:cs="仿宋_GB2312" w:eastAsia="仿宋_GB2312"/>
        </w:rPr>
        <w:t>委托，拟对</w:t>
      </w:r>
      <w:r>
        <w:rPr>
          <w:rFonts w:ascii="仿宋_GB2312" w:hAnsi="仿宋_GB2312" w:cs="仿宋_GB2312" w:eastAsia="仿宋_GB2312"/>
        </w:rPr>
        <w:t>莲湖区2026年城市“断头路”打通工程设计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SXXDDL-【2026】026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莲湖区2026年城市“断头路”打通工程设计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莲湖区2026年城市“断头路”打通工程共建设3条道路，分别为育苗路北延伸路、铁塔寺路北侧规划路、南小巷南段，现状为育苗路北延伸段未打通，导致育苗路由南向北车辆需绕行阿房路或睦邻路，导致交通不畅，同时育苗路北延伸段两侧新建小区已经完成主体建设，市政道路未修建导致小区出入不便，极大的影响居民的出行；铁塔寺路北侧规划路未修，导致西仪坊沿线居民仅能铁塔寺路和大庆路绕行出行，交通呈常态化拥堵，且道路南侧小区已经建成，道路未通，对小区居民的出行造成极大的影响；南小巷南段最小车行道宽度仅4m,存在瓶颈路段，高峰期严重影响周边居民出行。现需打通断头路，完善排水、交通、照明、绿化等设施，保证居民日常出行，缓解交通压力，提升区域土地价值，促进周边商业和土地开发。本次服务内容包括3条道路的初步设计和施工图设计工作以及施工过程等的后续服务配合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采购包1（莲湖区2026年城市“断头路”打通工程设计）：属于专门面向中小企业采购。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具有良好的商业信誉和健全的财务会计制度：提供2024年度或2025年度经审计完整的财务审计报告（包括审计报告、资产负债表、利润表、现金流量表、所有者权益变动及其附注）；或开标日期前六个月内其基本开户银行出具的资信证明（附《基本存款账户信息》或《银行开户许可证》复印件）；或财政部门认可的政府采购专业担保机构出具的投标担保函。（以上三种形式的资料提供任何一种即可）；（注：依据财政部、国务院国资委、金融监管总局印发《关于加强审计报告查验工作的通知》(财会(2023〕15号)报告须在注册会计师行业统一监管平台备案并由该平台赋予二维码）。</w:t>
      </w:r>
    </w:p>
    <w:p>
      <w:pPr>
        <w:pStyle w:val="null3"/>
      </w:pPr>
      <w:r>
        <w:rPr>
          <w:rFonts w:ascii="仿宋_GB2312" w:hAnsi="仿宋_GB2312" w:cs="仿宋_GB2312" w:eastAsia="仿宋_GB2312"/>
        </w:rPr>
        <w:t>3、税收缴纳证明：提供提交响应文件截止时间前六个月内至少一个月的纳税证明或完税证明，纳税证明或完税证明上应有代收机构或税务机关的公章或业务专用章。依法免税的供应商应提供相关文件证明。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会保障资金缴纳证明：提供提交响应文件截止时间前六个月内至少一个月的社会保障资金缴纳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5、前三年无重大违法记录声明：参加政府采购活动前三年内在经营活动中没有重大违法记录的书面声明。</w:t>
      </w:r>
    </w:p>
    <w:p>
      <w:pPr>
        <w:pStyle w:val="null3"/>
      </w:pPr>
      <w:r>
        <w:rPr>
          <w:rFonts w:ascii="仿宋_GB2312" w:hAnsi="仿宋_GB2312" w:cs="仿宋_GB2312" w:eastAsia="仿宋_GB2312"/>
        </w:rPr>
        <w:t>6、履行合同所必需的设备和专业技术能力：供应商须提供具有履行合同所必需的设备和专业技术能力的承诺函。</w:t>
      </w:r>
    </w:p>
    <w:p>
      <w:pPr>
        <w:pStyle w:val="null3"/>
      </w:pPr>
      <w:r>
        <w:rPr>
          <w:rFonts w:ascii="仿宋_GB2312" w:hAnsi="仿宋_GB2312" w:cs="仿宋_GB2312" w:eastAsia="仿宋_GB2312"/>
        </w:rPr>
        <w:t>7、法定代表人授权书/法定代表人身份证明：供应商应授权合法的人员参加磋商全过程，法定代表人（负责人）委托代理人参加磋商时，应提供法定代表人委托授权书及被授权人近三个月内任意一个月社保证明；法定代表人（负责人）亲自参加磋商时，应提供法定代表人（负责人）身份证明书。</w:t>
      </w:r>
    </w:p>
    <w:p>
      <w:pPr>
        <w:pStyle w:val="null3"/>
      </w:pPr>
      <w:r>
        <w:rPr>
          <w:rFonts w:ascii="仿宋_GB2312" w:hAnsi="仿宋_GB2312" w:cs="仿宋_GB2312" w:eastAsia="仿宋_GB2312"/>
        </w:rPr>
        <w:t>8、参加本项目的潜在供应商须无不良信用记录：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pPr>
      <w:r>
        <w:rPr>
          <w:rFonts w:ascii="仿宋_GB2312" w:hAnsi="仿宋_GB2312" w:cs="仿宋_GB2312" w:eastAsia="仿宋_GB2312"/>
        </w:rPr>
        <w:t>9、供应商资质：供应商需具备工程设计综合资质甲级或市政行业工程设计乙级及以上资质或市政行业(燃气、轨道交通工程除外)设计乙级及以上资质或市政行业(道路工程)专业乙级及以上资质及市政行业（排水工程）专业乙级及以上资质。</w:t>
      </w:r>
    </w:p>
    <w:p>
      <w:pPr>
        <w:pStyle w:val="null3"/>
      </w:pPr>
      <w:r>
        <w:rPr>
          <w:rFonts w:ascii="仿宋_GB2312" w:hAnsi="仿宋_GB2312" w:cs="仿宋_GB2312" w:eastAsia="仿宋_GB2312"/>
        </w:rPr>
        <w:t>10、项目负责人：拟派项目负责人须具备注册土木工程师（道路工程）执业资格，且在本单位注册。</w:t>
      </w:r>
    </w:p>
    <w:p>
      <w:pPr>
        <w:pStyle w:val="null3"/>
      </w:pPr>
      <w:r>
        <w:rPr>
          <w:rFonts w:ascii="仿宋_GB2312" w:hAnsi="仿宋_GB2312" w:cs="仿宋_GB2312" w:eastAsia="仿宋_GB2312"/>
        </w:rPr>
        <w:t>11、控股、管理关系：单位负责人为同一人或者存在直接控股、管理关系的不同供应商，不得同时参加本项目磋商。</w:t>
      </w:r>
    </w:p>
    <w:p>
      <w:pPr>
        <w:pStyle w:val="null3"/>
      </w:pPr>
      <w:r>
        <w:rPr>
          <w:rFonts w:ascii="仿宋_GB2312" w:hAnsi="仿宋_GB2312" w:cs="仿宋_GB2312" w:eastAsia="仿宋_GB2312"/>
        </w:rPr>
        <w:t>12、本项目接受联合体磋商：本项目接受联合体磋商。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西安市莲湖区住房和城市建设局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陕西省西安市莲湖区红埠街59号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李翔</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029-87610159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陕西希地工程项目管理有限公司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西安市浐灞生态区金桥二路2566号浐灞金融城A座12层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郭佳佳、曹静、张重虎、罗雪绒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029-88092915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文件及《国家发展改革委关于降低部分建设项目收费标准规范收费行为等有关问题的通知》发改价格[2011]534号文件规定；发改价格[2015]299号文件规定；经双方友好协商服务费以中标金额为基数按[2002]1980号文件计费标准下浮30%计取。代理服务费不足5000元时，按照5000元计取。 请将采购代理服务费汇至下列指定账户：开户名称：陕西希地工程项目管理有限公司；开户银行：建设银行西安友谊东路支行；开户账号：61001905400052501896。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西安市莲湖区住房和城市建设局</w:t>
      </w:r>
      <w:r>
        <w:rPr>
          <w:rFonts w:ascii="仿宋_GB2312" w:hAnsi="仿宋_GB2312" w:cs="仿宋_GB2312" w:eastAsia="仿宋_GB2312"/>
        </w:rPr>
        <w:t>和</w:t>
      </w:r>
      <w:r>
        <w:rPr>
          <w:rFonts w:ascii="仿宋_GB2312" w:hAnsi="仿宋_GB2312" w:cs="仿宋_GB2312" w:eastAsia="仿宋_GB2312"/>
        </w:rPr>
        <w:t>陕西希地工程项目管理有限公司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西安市莲湖区住房和城市建设局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陕西希地工程项目管理有限公司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西安市莲湖区住房和城市建设局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陕西希地工程项目管理有限公司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1、成交供应商对最终的服务质量负完全责任。2、验收依据：（1）合同；（2）国家有关的验收标准及规范。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陕西希地工程项目管理有限公司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陕西希地工程项目管理有限公司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陕西希地工程项目管理有限公司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联系人：郭佳佳、曹静、张重虎、罗雪绒</w:t>
      </w:r>
    </w:p>
    <w:p>
      <w:pPr>
        <w:pStyle w:val="null3"/>
      </w:pPr>
      <w:r>
        <w:rPr>
          <w:rFonts w:ascii="仿宋_GB2312" w:hAnsi="仿宋_GB2312" w:cs="仿宋_GB2312" w:eastAsia="仿宋_GB2312"/>
        </w:rPr>
        <w:t>联系电话：029-88092915</w:t>
      </w:r>
    </w:p>
    <w:p>
      <w:pPr>
        <w:pStyle w:val="null3"/>
      </w:pPr>
      <w:r>
        <w:rPr>
          <w:rFonts w:ascii="仿宋_GB2312" w:hAnsi="仿宋_GB2312" w:cs="仿宋_GB2312" w:eastAsia="仿宋_GB2312"/>
        </w:rPr>
        <w:t>地址：西安市浐灞生态区金桥二路2566号浐灞金融城A座12层</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莲湖区2026年城市“断头路”打通工程共建设3条道路，分别为育苗路北延伸路、铁塔寺路北侧规划路、南小巷南段，现状为育苗路北延伸段未打通，导致育苗路由南向北车辆需绕行阿房路或睦邻路，导致交通不畅，同时育苗路北延伸段两侧新建小区已经完成主体建设，市政道路未修建导致小区出入不便，极大的影响居民的出行；铁塔寺路北侧规划路未修，导致西仪坊沿线居民仅能铁塔寺路和大庆路绕行出行，交通呈常态化拥堵，且道路南侧小区已经建成，道路未通，对小区居民的出行造成极大的影响；南小巷南段最小车行道宽度仅4m,存在瓶颈路段，高峰期严重影响周边居民出行。现需打通断头路，完善排水、交通、照明、绿化等设施，保证居民日常出行，缓解交通压力，提升区域土地价值，促进周边商业和土地开发。本次服务内容包括3条道路的初步设计和施工图设计工作以及施工过程等的后续服务配合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莲湖区2026年城市断头路打通工程设计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标的名称：莲湖区2026年城市断头路打通工程设计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jc w:val="both"/>
            </w:pPr>
            <w:r>
              <w:rPr>
                <w:rFonts w:ascii="仿宋_GB2312" w:hAnsi="仿宋_GB2312" w:cs="仿宋_GB2312" w:eastAsia="仿宋_GB2312"/>
                <w:sz w:val="20"/>
              </w:rPr>
              <w:t>莲湖区</w:t>
            </w:r>
            <w:r>
              <w:rPr>
                <w:rFonts w:ascii="仿宋_GB2312" w:hAnsi="仿宋_GB2312" w:cs="仿宋_GB2312" w:eastAsia="仿宋_GB2312"/>
                <w:sz w:val="20"/>
              </w:rPr>
              <w:t>2026年城市“断头路”打通工程共建设3条道路，分别为育苗路北延伸路、铁塔寺路北侧规划路、南小巷南段，现状为育苗路北延伸段未打通，导致育苗路由南向北车辆需绕行阿房路或睦邻路，导致交通不畅，同时育苗路北延伸段两侧新建小区已经完成主体建设，市政道路未修建导致小区出入不便，极大的影响居民的出行；铁塔寺路北侧规划路未修，导致西仪坊沿线居民仅能铁塔寺路和大庆路绕行出行，交通呈常态化拥堵，且道路南侧小区已经建成，道路未通，对小区居民的出行造成极大的影响；南小巷南段最小车行道宽度仅4m,存在瓶颈路段，高峰期严重影响周边居民出行。现需打通断头路，完善排水、交通、照明、绿化等设施，保证居民日常出行，缓解交通压力，提升区域土地价值，促进周边商业和土地开发。本次服务内容包括3条道路的初步设计和施工图设计工作以及施工过程等的后续服务配合工作。</w:t>
            </w:r>
          </w:p>
          <w:p>
            <w:pPr>
              <w:pStyle w:val="null3"/>
              <w:jc w:val="both"/>
            </w:pPr>
            <w:r>
              <w:rPr>
                <w:rFonts w:ascii="仿宋_GB2312" w:hAnsi="仿宋_GB2312" w:cs="仿宋_GB2312" w:eastAsia="仿宋_GB2312"/>
                <w:sz w:val="20"/>
                <w:b/>
              </w:rPr>
              <w:t>二、服务内容</w:t>
            </w:r>
          </w:p>
          <w:p>
            <w:pPr>
              <w:pStyle w:val="null3"/>
              <w:jc w:val="both"/>
            </w:pPr>
            <w:r>
              <w:rPr>
                <w:rFonts w:ascii="仿宋_GB2312" w:hAnsi="仿宋_GB2312" w:cs="仿宋_GB2312" w:eastAsia="仿宋_GB2312"/>
                <w:sz w:val="20"/>
              </w:rPr>
              <w:t>本次建设的育苗路北延伸路、铁塔寺北侧规划路、南小巷南段等</w:t>
            </w:r>
            <w:r>
              <w:rPr>
                <w:rFonts w:ascii="仿宋_GB2312" w:hAnsi="仿宋_GB2312" w:cs="仿宋_GB2312" w:eastAsia="仿宋_GB2312"/>
                <w:sz w:val="20"/>
              </w:rPr>
              <w:t>3条道路均位于莲湖区范围，服务内容包括3条道路的初步设计和施工图设计工作以及施工过程等的后续服务配合工作。</w:t>
            </w:r>
          </w:p>
          <w:p>
            <w:pPr>
              <w:pStyle w:val="null3"/>
              <w:jc w:val="both"/>
            </w:pPr>
            <w:r>
              <w:rPr>
                <w:rFonts w:ascii="仿宋_GB2312" w:hAnsi="仿宋_GB2312" w:cs="仿宋_GB2312" w:eastAsia="仿宋_GB2312"/>
                <w:sz w:val="20"/>
                <w:b/>
              </w:rPr>
              <w:t>三、技术要求</w:t>
            </w:r>
          </w:p>
          <w:p>
            <w:pPr>
              <w:pStyle w:val="null3"/>
              <w:jc w:val="both"/>
            </w:pPr>
            <w:r>
              <w:rPr>
                <w:rFonts w:ascii="仿宋_GB2312" w:hAnsi="仿宋_GB2312" w:cs="仿宋_GB2312" w:eastAsia="仿宋_GB2312"/>
                <w:sz w:val="20"/>
              </w:rPr>
              <w:t>道路设计要满足规划红线要求和交通需求及与现状道路顺接，便于交通组织；排水工程要满足《西安市排水（污水）工程专项规划》（</w:t>
            </w:r>
            <w:r>
              <w:rPr>
                <w:rFonts w:ascii="仿宋_GB2312" w:hAnsi="仿宋_GB2312" w:cs="仿宋_GB2312" w:eastAsia="仿宋_GB2312"/>
                <w:sz w:val="20"/>
              </w:rPr>
              <w:t>2020-2035年）和《西安市城市排水（雨水）防涝综合规划》（2015-2030）规划。处理各种管线关系，合理布设管位，符合电力、通讯等相关要求。</w:t>
            </w:r>
          </w:p>
          <w:p>
            <w:pPr>
              <w:pStyle w:val="null3"/>
              <w:jc w:val="both"/>
            </w:pPr>
            <w:r>
              <w:rPr>
                <w:rFonts w:ascii="仿宋_GB2312" w:hAnsi="仿宋_GB2312" w:cs="仿宋_GB2312" w:eastAsia="仿宋_GB2312"/>
                <w:sz w:val="20"/>
                <w:b/>
              </w:rPr>
              <w:t>四、服务要求</w:t>
            </w:r>
          </w:p>
          <w:p>
            <w:pPr>
              <w:pStyle w:val="null3"/>
              <w:jc w:val="both"/>
            </w:pPr>
            <w:r>
              <w:rPr>
                <w:rFonts w:ascii="仿宋_GB2312" w:hAnsi="仿宋_GB2312" w:cs="仿宋_GB2312" w:eastAsia="仿宋_GB2312"/>
                <w:sz w:val="20"/>
              </w:rPr>
              <w:t>1、设计文件按国家规定和合同约定的技术规范、标准进行设计。</w:t>
            </w:r>
          </w:p>
          <w:p>
            <w:pPr>
              <w:pStyle w:val="null3"/>
              <w:jc w:val="both"/>
            </w:pPr>
            <w:r>
              <w:rPr>
                <w:rFonts w:ascii="仿宋_GB2312" w:hAnsi="仿宋_GB2312" w:cs="仿宋_GB2312" w:eastAsia="仿宋_GB2312"/>
                <w:sz w:val="20"/>
              </w:rPr>
              <w:t>2、按合同规定的内容、时间及份数向甲方交付设计文件，并对提交的设计文件的质量负责。</w:t>
            </w:r>
          </w:p>
          <w:p>
            <w:pPr>
              <w:pStyle w:val="null3"/>
              <w:jc w:val="both"/>
            </w:pPr>
            <w:r>
              <w:rPr>
                <w:rFonts w:ascii="仿宋_GB2312" w:hAnsi="仿宋_GB2312" w:cs="仿宋_GB2312" w:eastAsia="仿宋_GB2312"/>
                <w:sz w:val="20"/>
              </w:rPr>
              <w:t>3、拟派项目负责人须具备注册土木工程师（道路工程）执业资格，且在本单位注册。拟派项目负责人需具备市政工程相关专业中级职称证书，设计团队应配置道路、给排水、绿化、造价等专业人员。</w:t>
            </w:r>
          </w:p>
          <w:p>
            <w:pPr>
              <w:pStyle w:val="null3"/>
              <w:jc w:val="both"/>
            </w:pPr>
            <w:r>
              <w:rPr>
                <w:rFonts w:ascii="仿宋_GB2312" w:hAnsi="仿宋_GB2312" w:cs="仿宋_GB2312" w:eastAsia="仿宋_GB2312"/>
                <w:sz w:val="20"/>
              </w:rPr>
              <w:t>4、项目实施期间，设置专人进行施工配合，确保项目顺利实施。</w:t>
            </w:r>
          </w:p>
          <w:p>
            <w:pPr>
              <w:pStyle w:val="null3"/>
              <w:jc w:val="both"/>
            </w:pPr>
            <w:r>
              <w:rPr>
                <w:rFonts w:ascii="仿宋_GB2312" w:hAnsi="仿宋_GB2312" w:cs="仿宋_GB2312" w:eastAsia="仿宋_GB2312"/>
                <w:sz w:val="20"/>
                <w:b/>
              </w:rPr>
              <w:t>五、其他要求</w:t>
            </w:r>
          </w:p>
          <w:p>
            <w:pPr>
              <w:pStyle w:val="null3"/>
              <w:jc w:val="both"/>
            </w:pPr>
            <w:r>
              <w:rPr>
                <w:rFonts w:ascii="仿宋_GB2312" w:hAnsi="仿宋_GB2312" w:cs="仿宋_GB2312" w:eastAsia="仿宋_GB2312"/>
                <w:sz w:val="20"/>
              </w:rPr>
              <w:t>（一）对服务商的业绩要求</w:t>
            </w:r>
          </w:p>
          <w:p>
            <w:pPr>
              <w:pStyle w:val="null3"/>
              <w:jc w:val="both"/>
            </w:pPr>
            <w:r>
              <w:rPr>
                <w:rFonts w:ascii="仿宋_GB2312" w:hAnsi="仿宋_GB2312" w:cs="仿宋_GB2312" w:eastAsia="仿宋_GB2312"/>
                <w:sz w:val="20"/>
              </w:rPr>
              <w:t>近三年具有类似市政公用工程设计业绩。</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）进度要求</w:t>
            </w:r>
          </w:p>
          <w:p>
            <w:pPr>
              <w:pStyle w:val="null3"/>
              <w:jc w:val="both"/>
            </w:pPr>
            <w:r>
              <w:rPr>
                <w:rFonts w:ascii="仿宋_GB2312" w:hAnsi="仿宋_GB2312" w:cs="仿宋_GB2312" w:eastAsia="仿宋_GB2312"/>
                <w:sz w:val="20"/>
              </w:rPr>
              <w:t>1、15个日历天内完成初步设计及报审工作</w:t>
            </w:r>
          </w:p>
          <w:p>
            <w:pPr>
              <w:pStyle w:val="null3"/>
              <w:jc w:val="both"/>
            </w:pPr>
            <w:r>
              <w:rPr>
                <w:rFonts w:ascii="仿宋_GB2312" w:hAnsi="仿宋_GB2312" w:cs="仿宋_GB2312" w:eastAsia="仿宋_GB2312"/>
                <w:sz w:val="20"/>
              </w:rPr>
              <w:t>2、10个日历天内日完成施工图设计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）成果交付要求</w:t>
            </w:r>
          </w:p>
          <w:p>
            <w:pPr>
              <w:pStyle w:val="null3"/>
              <w:jc w:val="both"/>
            </w:pPr>
            <w:r>
              <w:rPr>
                <w:rFonts w:ascii="仿宋_GB2312" w:hAnsi="仿宋_GB2312" w:cs="仿宋_GB2312" w:eastAsia="仿宋_GB2312"/>
                <w:sz w:val="20"/>
              </w:rPr>
              <w:t>提供最终初步设计文件</w:t>
            </w:r>
            <w:r>
              <w:rPr>
                <w:rFonts w:ascii="仿宋_GB2312" w:hAnsi="仿宋_GB2312" w:cs="仿宋_GB2312" w:eastAsia="仿宋_GB2312"/>
                <w:sz w:val="20"/>
              </w:rPr>
              <w:t>6套、设计概算书2份及光盘2份（所有成果电子版文字为doc格式，图纸为 AutoCAD2004的DWG和PDF格式，效果图为JPG格式）。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四</w:t>
            </w:r>
            <w:r>
              <w:rPr>
                <w:rFonts w:ascii="仿宋_GB2312" w:hAnsi="仿宋_GB2312" w:cs="仿宋_GB2312" w:eastAsia="仿宋_GB2312"/>
                <w:sz w:val="20"/>
              </w:rPr>
              <w:t>）质量验收标准或规范</w:t>
            </w:r>
          </w:p>
          <w:p>
            <w:pPr>
              <w:pStyle w:val="null3"/>
              <w:jc w:val="both"/>
            </w:pPr>
            <w:r>
              <w:rPr>
                <w:rFonts w:ascii="仿宋_GB2312" w:hAnsi="仿宋_GB2312" w:cs="仿宋_GB2312" w:eastAsia="仿宋_GB2312"/>
                <w:sz w:val="20"/>
              </w:rPr>
              <w:t>设计质量满足现行国家、省、市相关设计规范要求。</w:t>
            </w:r>
          </w:p>
          <w:p>
            <w:pPr>
              <w:pStyle w:val="null3"/>
              <w:jc w:val="both"/>
            </w:pPr>
            <w:r>
              <w:rPr>
                <w:rFonts w:ascii="仿宋_GB2312" w:hAnsi="仿宋_GB2312" w:cs="仿宋_GB2312" w:eastAsia="仿宋_GB2312"/>
                <w:sz w:val="20"/>
              </w:rPr>
              <w:t>《城市道路交通工程项目规范》（</w:t>
            </w:r>
            <w:r>
              <w:rPr>
                <w:rFonts w:ascii="仿宋_GB2312" w:hAnsi="仿宋_GB2312" w:cs="仿宋_GB2312" w:eastAsia="仿宋_GB2312"/>
                <w:sz w:val="20"/>
              </w:rPr>
              <w:t>GB 55011-2021）</w:t>
            </w:r>
          </w:p>
          <w:p>
            <w:pPr>
              <w:pStyle w:val="null3"/>
              <w:jc w:val="both"/>
            </w:pPr>
            <w:r>
              <w:rPr>
                <w:rFonts w:ascii="仿宋_GB2312" w:hAnsi="仿宋_GB2312" w:cs="仿宋_GB2312" w:eastAsia="仿宋_GB2312"/>
                <w:sz w:val="20"/>
              </w:rPr>
              <w:t>《城市道路交叉口规划规范》（</w:t>
            </w:r>
            <w:r>
              <w:rPr>
                <w:rFonts w:ascii="仿宋_GB2312" w:hAnsi="仿宋_GB2312" w:cs="仿宋_GB2312" w:eastAsia="仿宋_GB2312"/>
                <w:sz w:val="20"/>
              </w:rPr>
              <w:t>GB50647-2011）</w:t>
            </w:r>
          </w:p>
          <w:p>
            <w:pPr>
              <w:pStyle w:val="null3"/>
              <w:jc w:val="both"/>
            </w:pPr>
            <w:r>
              <w:rPr>
                <w:rFonts w:ascii="仿宋_GB2312" w:hAnsi="仿宋_GB2312" w:cs="仿宋_GB2312" w:eastAsia="仿宋_GB2312"/>
                <w:sz w:val="20"/>
              </w:rPr>
              <w:t>《建筑与市政工程无障碍通用规范》（</w:t>
            </w:r>
            <w:r>
              <w:rPr>
                <w:rFonts w:ascii="仿宋_GB2312" w:hAnsi="仿宋_GB2312" w:cs="仿宋_GB2312" w:eastAsia="仿宋_GB2312"/>
                <w:sz w:val="20"/>
              </w:rPr>
              <w:t>GB 55019-2021）</w:t>
            </w:r>
          </w:p>
          <w:p>
            <w:pPr>
              <w:pStyle w:val="null3"/>
              <w:jc w:val="both"/>
            </w:pPr>
            <w:r>
              <w:rPr>
                <w:rFonts w:ascii="仿宋_GB2312" w:hAnsi="仿宋_GB2312" w:cs="仿宋_GB2312" w:eastAsia="仿宋_GB2312"/>
                <w:sz w:val="20"/>
              </w:rPr>
              <w:t>《城市道路路基设计规范》（</w:t>
            </w:r>
            <w:r>
              <w:rPr>
                <w:rFonts w:ascii="仿宋_GB2312" w:hAnsi="仿宋_GB2312" w:cs="仿宋_GB2312" w:eastAsia="仿宋_GB2312"/>
                <w:sz w:val="20"/>
              </w:rPr>
              <w:t>CJJ 194-2013）</w:t>
            </w:r>
          </w:p>
          <w:p>
            <w:pPr>
              <w:pStyle w:val="null3"/>
              <w:jc w:val="both"/>
            </w:pPr>
            <w:r>
              <w:rPr>
                <w:rFonts w:ascii="仿宋_GB2312" w:hAnsi="仿宋_GB2312" w:cs="仿宋_GB2312" w:eastAsia="仿宋_GB2312"/>
                <w:sz w:val="20"/>
              </w:rPr>
              <w:t>《湿陷性黄土地区建筑标准》（</w:t>
            </w:r>
            <w:r>
              <w:rPr>
                <w:rFonts w:ascii="仿宋_GB2312" w:hAnsi="仿宋_GB2312" w:cs="仿宋_GB2312" w:eastAsia="仿宋_GB2312"/>
                <w:sz w:val="20"/>
              </w:rPr>
              <w:t>GB50025-2018）</w:t>
            </w:r>
          </w:p>
          <w:p>
            <w:pPr>
              <w:pStyle w:val="null3"/>
              <w:jc w:val="both"/>
            </w:pPr>
            <w:r>
              <w:rPr>
                <w:rFonts w:ascii="仿宋_GB2312" w:hAnsi="仿宋_GB2312" w:cs="仿宋_GB2312" w:eastAsia="仿宋_GB2312"/>
                <w:sz w:val="20"/>
              </w:rPr>
              <w:t>《城市道路交通标志和标线设置规范》（</w:t>
            </w:r>
            <w:r>
              <w:rPr>
                <w:rFonts w:ascii="仿宋_GB2312" w:hAnsi="仿宋_GB2312" w:cs="仿宋_GB2312" w:eastAsia="仿宋_GB2312"/>
                <w:sz w:val="20"/>
              </w:rPr>
              <w:t>GB51038-2015）</w:t>
            </w:r>
          </w:p>
          <w:p>
            <w:pPr>
              <w:pStyle w:val="null3"/>
              <w:jc w:val="both"/>
            </w:pPr>
            <w:r>
              <w:rPr>
                <w:rFonts w:ascii="仿宋_GB2312" w:hAnsi="仿宋_GB2312" w:cs="仿宋_GB2312" w:eastAsia="仿宋_GB2312"/>
                <w:sz w:val="20"/>
              </w:rPr>
              <w:t>《室外给水排水和燃气热力工程抗震设计规范》（</w:t>
            </w:r>
            <w:r>
              <w:rPr>
                <w:rFonts w:ascii="仿宋_GB2312" w:hAnsi="仿宋_GB2312" w:cs="仿宋_GB2312" w:eastAsia="仿宋_GB2312"/>
                <w:sz w:val="20"/>
              </w:rPr>
              <w:t>GB50032-2003）</w:t>
            </w:r>
          </w:p>
          <w:p>
            <w:pPr>
              <w:pStyle w:val="null3"/>
              <w:jc w:val="both"/>
            </w:pPr>
            <w:r>
              <w:rPr>
                <w:rFonts w:ascii="仿宋_GB2312" w:hAnsi="仿宋_GB2312" w:cs="仿宋_GB2312" w:eastAsia="仿宋_GB2312"/>
                <w:sz w:val="20"/>
              </w:rPr>
              <w:t>《给水排水管道工程施工及验收规范》</w:t>
            </w:r>
            <w:r>
              <w:rPr>
                <w:rFonts w:ascii="仿宋_GB2312" w:hAnsi="仿宋_GB2312" w:cs="仿宋_GB2312" w:eastAsia="仿宋_GB2312"/>
                <w:sz w:val="20"/>
              </w:rPr>
              <w:t>(GB50268-2008)</w:t>
            </w:r>
          </w:p>
          <w:p>
            <w:pPr>
              <w:pStyle w:val="null3"/>
              <w:jc w:val="both"/>
            </w:pPr>
            <w:r>
              <w:rPr>
                <w:rFonts w:ascii="仿宋_GB2312" w:hAnsi="仿宋_GB2312" w:cs="仿宋_GB2312" w:eastAsia="仿宋_GB2312"/>
                <w:sz w:val="20"/>
              </w:rPr>
              <w:t>《城市道路照明设计标准》（</w:t>
            </w:r>
            <w:r>
              <w:rPr>
                <w:rFonts w:ascii="仿宋_GB2312" w:hAnsi="仿宋_GB2312" w:cs="仿宋_GB2312" w:eastAsia="仿宋_GB2312"/>
                <w:sz w:val="20"/>
              </w:rPr>
              <w:t>CJJ45-2015）</w:t>
            </w:r>
          </w:p>
          <w:p>
            <w:pPr>
              <w:pStyle w:val="null3"/>
              <w:jc w:val="both"/>
            </w:pPr>
            <w:r>
              <w:rPr>
                <w:rFonts w:ascii="仿宋_GB2312" w:hAnsi="仿宋_GB2312" w:cs="仿宋_GB2312" w:eastAsia="仿宋_GB2312"/>
                <w:sz w:val="20"/>
              </w:rPr>
              <w:t>（五）违约责任</w:t>
            </w:r>
          </w:p>
          <w:p>
            <w:pPr>
              <w:pStyle w:val="null3"/>
            </w:pPr>
            <w:r>
              <w:rPr>
                <w:rFonts w:ascii="仿宋_GB2312" w:hAnsi="仿宋_GB2312" w:cs="仿宋_GB2312" w:eastAsia="仿宋_GB2312"/>
                <w:sz w:val="20"/>
              </w:rPr>
              <w:t>一般与合同款项的支付相关，注意不要超出《民法典》中对于违约的责任上限。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拟派项目负责人须具备注册土木工程师（道路工程）执业资格，且在本单位注册。拟派项目负责人需具备市政工程相关专业中级职称证书，设计团队应配置道路、给排水、绿化、造价等专业人员。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满足磋商文件及采购人要求，以保障项目顺利实施为准。</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自合同签订之日起至施工完成竣工验收后止。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西安市莲湖区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1、成交供应商对最终的服务质量负完全责任。2、验收依据：（1）合同；（2）国家有关的验收标准及规范。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设计人完成初步设计工作及提交施工图的全部设计文件并经审查合格并开具正规发票及提供相关付款手续后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工程竣工验收后（实际支付根据财政拨款进度最终确定）</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联合体成员不得超过2名(含牵头人)；联合体必须按规定的格式签订联合体协议，明确联合体牵头人和联合体参与方的主要权利和义务；联合体各方不得再以自己名义单独或加入其他联合体参加本项目磋商；采用联合体磋商的，由联合体牵头人负责处理联合体磋商过程所有相关事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供应商需在项目电子化交易系统中按要求填写《投标函》完成承诺并进行电子签章。并在响应文件中附相关证明材料。</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2024年度或2025年度经审计完整的财务审计报告（包括审计报告、资产负债表、利润表、现金流量表、所有者权益变动及其附注）；或开标日期前六个月内其基本开户银行出具的资信证明（附《基本存款账户信息》或《银行开户许可证》复印件）；或财政部门认可的政府采购专业担保机构出具的投标担保函。（以上三种形式的资料提供任何一种即可）；（注：依据财政部、国务院国资委、金融监管总局印发《关于加强审计报告查验工作的通知》(财会(2023〕15号)报告须在注册会计师行业统一监管平台备案并由该平台赋予二维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或2025年度经审计完整的财务审计报告（包括审计报告、资产负债表、利润表、现金流量表、所有者权益变动及其附注）；或开标日期前六个月内其基本开户银行出具的资信证明（附《基本存款账户信息》或《银行开户许可证》复印件）；或财政部门认可的政府采购专业担保机构出具的投标担保函。（以上三种形式的资料提供任何一种即可）；（注：依据财政部、国务院国资委、金融监管总局印发《关于加强审计报告查验工作的通知》(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提供提交响应文件截止时间前六个月内至少一个月的纳税证明或完税证明，纳税证明或完税证明上应有代收机构或税务机关的公章或业务专用章。依法免税的供应商应提供相关文件证明。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提交响应文件截止时间前六个月内至少一个月的社会保障资金缴纳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供应商应授权合法的人员参加磋商全过程，法定代表人（负责人）委托代理人参加磋商时，应提供法定代表人委托授权书及被授权人近三个月内任意一个月社保证明；法定代表人（负责人）亲自参加磋商时，应提供法定代表人（负责人）身份证明书。</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参加本项目的潜在供应商须无不良信用记录</w:t>
            </w:r>
          </w:p>
        </w:tc>
        <w:tc>
          <w:tcPr>
            <w:tcW w:type="dxa" w:w="3322"/>
          </w:tcPr>
          <w:p>
            <w:pPr>
              <w:pStyle w:val="null3"/>
            </w:pPr>
            <w:r>
              <w:rPr>
                <w:rFonts w:ascii="仿宋_GB2312" w:hAnsi="仿宋_GB2312" w:cs="仿宋_GB2312" w:eastAsia="仿宋_GB2312"/>
              </w:rPr>
              <w:t>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需具备工程设计综合资质甲级或市政行业工程设计乙级及以上资质或市政行业(燃气、轨道交通工程除外)设计乙级及以上资质或市政行业(道路工程)专业乙级及以上资质及市政行业（排水工程）专业乙级及以上资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拟派项目负责人须具备注册土木工程师（道路工程）执业资格，且在本单位注册。</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单位负责人为同一人或者存在直接控股、管理关系的不同供应商，不得同时参加本项目磋商。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本项目接受联合体磋商</w:t>
            </w:r>
          </w:p>
        </w:tc>
        <w:tc>
          <w:tcPr>
            <w:tcW w:type="dxa" w:w="3322"/>
          </w:tcPr>
          <w:p>
            <w:pPr>
              <w:pStyle w:val="null3"/>
            </w:pPr>
            <w:r>
              <w:rPr>
                <w:rFonts w:ascii="仿宋_GB2312" w:hAnsi="仿宋_GB2312" w:cs="仿宋_GB2312" w:eastAsia="仿宋_GB2312"/>
              </w:rPr>
              <w:t>本项目接受联合体磋商。</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供应商名称与公章、营业执照一致</w:t>
            </w:r>
          </w:p>
        </w:tc>
        <w:tc>
          <w:tcPr>
            <w:tcW w:type="dxa" w:w="1661"/>
          </w:tcPr>
          <w:p>
            <w:pPr>
              <w:pStyle w:val="null3"/>
            </w:pPr>
            <w:r>
              <w:rPr>
                <w:rFonts w:ascii="仿宋_GB2312" w:hAnsi="仿宋_GB2312" w:cs="仿宋_GB2312" w:eastAsia="仿宋_GB2312"/>
              </w:rPr>
              <w:t>响应文件封面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响应文件的签署、加盖印章是否合格、有效</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陕西省政府采购供应商拒绝政府采购领域商业贿赂承诺书 报价表 响应函 监狱企业的证明文件 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磋商响应文件内容完整、格式符合要求、内容清晰可辨</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陕西省政府采购供应商拒绝政府采购领域商业贿赂承诺书 报价表 响应函 监狱企业的证明文件 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响应文件中技术、服务内容达不到采购要求，出现重大负偏差</w:t>
            </w:r>
          </w:p>
        </w:tc>
        <w:tc>
          <w:tcPr>
            <w:tcW w:type="dxa" w:w="3322"/>
          </w:tcPr>
          <w:p>
            <w:pPr>
              <w:pStyle w:val="null3"/>
            </w:pPr>
            <w:r>
              <w:rPr>
                <w:rFonts w:ascii="仿宋_GB2312" w:hAnsi="仿宋_GB2312" w:cs="仿宋_GB2312" w:eastAsia="仿宋_GB2312"/>
              </w:rPr>
              <w:t>技术、服务内容达到采购要求，未出现重大负偏差</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服务期限是否按磋商文件要求响应</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服务地点是否按磋商文件要求响应</w:t>
            </w:r>
          </w:p>
        </w:tc>
        <w:tc>
          <w:tcPr>
            <w:tcW w:type="dxa" w:w="1661"/>
          </w:tcPr>
          <w:p>
            <w:pPr>
              <w:pStyle w:val="null3"/>
            </w:pPr>
            <w:r>
              <w:rPr>
                <w:rFonts w:ascii="仿宋_GB2312" w:hAnsi="仿宋_GB2312" w:cs="仿宋_GB2312" w:eastAsia="仿宋_GB2312"/>
              </w:rPr>
              <w:t>商务应答表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付款方式是否响应磋商文件的要求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响应有效期是否响应磋商文件的要求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对项目的理解及任务分析</w:t>
            </w:r>
          </w:p>
        </w:tc>
        <w:tc>
          <w:tcPr>
            <w:tcW w:type="dxa" w:w="2492"/>
          </w:tcPr>
          <w:p>
            <w:pPr>
              <w:pStyle w:val="null3"/>
            </w:pPr>
            <w:r>
              <w:rPr>
                <w:rFonts w:ascii="仿宋_GB2312" w:hAnsi="仿宋_GB2312" w:cs="仿宋_GB2312" w:eastAsia="仿宋_GB2312"/>
              </w:rPr>
              <w:t>1、评审内容 供应商描述对项目的理解及针对本项目的任务分析 2、评审标准 ①全面性：掌握项目各项工作要求，内容全面完善。②准确性：了解项目真实情况。③针对性：能够紧扣项目实际情况，内容科学合理； 3、赋分标准 ①供应商描述对项目的理解：每完全满足一项评审标准得2分，满分6分；有一项缺陷扣1分。②针对本项目的任务分析：每完全满足一项评审标准得2分，满分6分；有一项缺陷扣1分。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总体设计思路及方案</w:t>
            </w:r>
          </w:p>
        </w:tc>
        <w:tc>
          <w:tcPr>
            <w:tcW w:type="dxa" w:w="2492"/>
          </w:tcPr>
          <w:p>
            <w:pPr>
              <w:pStyle w:val="null3"/>
            </w:pPr>
            <w:r>
              <w:rPr>
                <w:rFonts w:ascii="仿宋_GB2312" w:hAnsi="仿宋_GB2312" w:cs="仿宋_GB2312" w:eastAsia="仿宋_GB2312"/>
              </w:rPr>
              <w:t>1、评审内容 供应商描述总体设计思路及方案 2、评审标准 ①可实施性：实施步骤清晰、计划合理，可实施性强。②合理性：切合本项目实际情况，设计合理。③全面性：内容全面完善，各专业考虑周全。 3、赋分标准 ①总体设计思路：每完全满足一项评审标准得2分，满分6分；有一项缺陷扣1分。②设计方案：每完全满足一项评审标准得2分，满分6分；有一项缺陷扣1分。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项目服务标准、服务质量保障措施</w:t>
            </w:r>
          </w:p>
        </w:tc>
        <w:tc>
          <w:tcPr>
            <w:tcW w:type="dxa" w:w="2492"/>
          </w:tcPr>
          <w:p>
            <w:pPr>
              <w:pStyle w:val="null3"/>
            </w:pPr>
            <w:r>
              <w:rPr>
                <w:rFonts w:ascii="仿宋_GB2312" w:hAnsi="仿宋_GB2312" w:cs="仿宋_GB2312" w:eastAsia="仿宋_GB2312"/>
              </w:rPr>
              <w:t>1、评审内容 供应商描述服务标准、服务质量保障措施 2、评审标准 ①可实施性：实施步骤清晰、计划合理，可实施性强。②合理性：切合本项目实际情况，合理可行。 3、赋分标准 每完全满足一项评审标准得5分，满分10分；有一项缺陷扣2分。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1、评审内容 供应商描述进度保障措施 2、评审标准 ①可实施性：实施步骤清晰、计划合理，可实施性强。②合理性：切合本项目实际情况，合理可行。 3、赋分标准 ①进度计划：每完全满足一项评审标准得2.5分，满分5分；有一项缺陷扣1分。②保障措施：每完全满足一项评审标准得2.5分，满分5分；有一项缺陷扣1分。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重难点应对方案</w:t>
            </w:r>
          </w:p>
        </w:tc>
        <w:tc>
          <w:tcPr>
            <w:tcW w:type="dxa" w:w="2492"/>
          </w:tcPr>
          <w:p>
            <w:pPr>
              <w:pStyle w:val="null3"/>
            </w:pPr>
            <w:r>
              <w:rPr>
                <w:rFonts w:ascii="仿宋_GB2312" w:hAnsi="仿宋_GB2312" w:cs="仿宋_GB2312" w:eastAsia="仿宋_GB2312"/>
              </w:rPr>
              <w:t>1、评审内容 供应商提供针对本项目的设计工作重点、难点分析及解决措施。 2、评审标准 ①完整性：方案须全面，对评审内容中的要求有详细描述及说明；②可实施性：切合本项目实际情况，实施步骤清晰、合理；③针对性：方案能够紧扣项目实际情况，内容科学合理。 3、赋分标准 每完全满足一项评审标准得3分；有一项缺陷扣1分。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1、学历和职称 拟投入本项目的项目负责人具有本科及以上学历计2分，具有大专学历计1分，其他不得分。拟派项目负责人具备市政工程相关专业高级职称证书得2分，其他不得分。（提供项目负责人相关证件复印件。） 2、业绩 拟投入本项目的项目负责人具有丰富的工作经验，能够带领及引导团队人员顺利完成项目,并达到采购人要求。提供近三年来（2023年1月1日至今）类似市政工程设计业绩证明材料，（以中标（成交）通知书或合同协议书为准，项目负责人姓名（以中标（成交）通知书或合同协议书为准，合同协议书或中标（成交）通知书中无法体现拟派项目设计负责人信息时，以该项目建设单位出具的加盖该项目建设单位公章的相关证明材料中负责人信息为准）。每有1项得1分，最多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拟派项目团队成员情况</w:t>
            </w:r>
          </w:p>
        </w:tc>
        <w:tc>
          <w:tcPr>
            <w:tcW w:type="dxa" w:w="2492"/>
          </w:tcPr>
          <w:p>
            <w:pPr>
              <w:pStyle w:val="null3"/>
            </w:pPr>
            <w:r>
              <w:rPr>
                <w:rFonts w:ascii="仿宋_GB2312" w:hAnsi="仿宋_GB2312" w:cs="仿宋_GB2312" w:eastAsia="仿宋_GB2312"/>
              </w:rPr>
              <w:t>人员配置合理，岗位分工明确，在人员配置要求的基础上每增加一名道路、给排水、绿化、造价等工程相关专业高级工程师或以上职称的加2分，中级职称的加1分，本项满分6分。（须提供人员职称证复印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供应商提供针对本项目的服务承诺。 2、评审标准 ①完整性：服务承诺全面，对评审内容中的要求有详细描述及说明；②可行性：切合本项目实际情况，承诺合理； 3、赋分标准 每完全满足一项评审标准得2.5分；有一项缺陷扣1分。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需提供近三年来（2023年1月1日至今）类似市政工程设计业绩证明材料，每提供1个业绩得2.5分；最高得10分（附合同协议书或中标（成交）通知书复印件，以合同签订时间或中标（成交）通知书签发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