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DDC1B">
      <w:pPr>
        <w:ind w:firstLine="5737" w:firstLineChars="1905"/>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合同编号：</w:t>
      </w:r>
      <w:r>
        <w:rPr>
          <w:rFonts w:hint="eastAsia" w:ascii="仿宋" w:hAnsi="仿宋" w:eastAsia="仿宋" w:cs="仿宋"/>
          <w:b/>
          <w:color w:val="000000"/>
          <w:sz w:val="30"/>
          <w:szCs w:val="30"/>
          <w:highlight w:val="none"/>
          <w:u w:val="single"/>
        </w:rPr>
        <w:t xml:space="preserve">          </w:t>
      </w:r>
    </w:p>
    <w:p w14:paraId="03700C6E">
      <w:pPr>
        <w:ind w:firstLine="602"/>
        <w:jc w:val="center"/>
        <w:rPr>
          <w:rFonts w:hint="eastAsia" w:ascii="仿宋" w:hAnsi="仿宋" w:eastAsia="仿宋" w:cs="仿宋"/>
          <w:b/>
          <w:color w:val="000000"/>
          <w:sz w:val="30"/>
          <w:szCs w:val="30"/>
          <w:highlight w:val="none"/>
        </w:rPr>
      </w:pPr>
    </w:p>
    <w:p w14:paraId="04C40A4C">
      <w:pPr>
        <w:pStyle w:val="4"/>
        <w:ind w:firstLine="1044"/>
        <w:rPr>
          <w:rFonts w:hint="eastAsia" w:ascii="仿宋" w:hAnsi="仿宋" w:eastAsia="仿宋" w:cs="仿宋"/>
          <w:color w:val="000000"/>
          <w:sz w:val="52"/>
          <w:szCs w:val="52"/>
          <w:highlight w:val="none"/>
        </w:rPr>
      </w:pPr>
    </w:p>
    <w:p w14:paraId="70C05AFF">
      <w:pPr>
        <w:rPr>
          <w:rFonts w:hint="eastAsia" w:ascii="仿宋" w:hAnsi="仿宋" w:eastAsia="仿宋" w:cs="仿宋"/>
          <w:color w:val="000000"/>
          <w:sz w:val="52"/>
          <w:szCs w:val="52"/>
          <w:highlight w:val="none"/>
        </w:rPr>
      </w:pPr>
    </w:p>
    <w:p w14:paraId="25FCBB95">
      <w:pPr>
        <w:rPr>
          <w:rFonts w:hint="eastAsia" w:ascii="仿宋" w:hAnsi="仿宋" w:eastAsia="仿宋" w:cs="仿宋"/>
          <w:color w:val="000000"/>
          <w:sz w:val="52"/>
          <w:szCs w:val="52"/>
          <w:highlight w:val="none"/>
        </w:rPr>
      </w:pPr>
    </w:p>
    <w:p w14:paraId="25204371">
      <w:pPr>
        <w:ind w:firstLine="420"/>
        <w:rPr>
          <w:rFonts w:hint="eastAsia" w:ascii="仿宋" w:hAnsi="仿宋" w:eastAsia="仿宋" w:cs="仿宋"/>
          <w:highlight w:val="none"/>
        </w:rPr>
      </w:pPr>
    </w:p>
    <w:p w14:paraId="60D9174B">
      <w:pPr>
        <w:ind w:firstLine="0" w:firstLineChars="0"/>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72"/>
          <w:szCs w:val="52"/>
          <w:highlight w:val="none"/>
        </w:rPr>
        <w:t>建设工程设计合同</w:t>
      </w:r>
    </w:p>
    <w:p w14:paraId="13FE1777">
      <w:pPr>
        <w:ind w:firstLine="562"/>
        <w:rPr>
          <w:rFonts w:hint="eastAsia" w:ascii="仿宋" w:hAnsi="仿宋" w:eastAsia="仿宋" w:cs="仿宋"/>
          <w:b/>
          <w:color w:val="000000"/>
          <w:sz w:val="28"/>
          <w:szCs w:val="28"/>
          <w:highlight w:val="none"/>
        </w:rPr>
      </w:pPr>
    </w:p>
    <w:p w14:paraId="4651C37C">
      <w:pPr>
        <w:pStyle w:val="4"/>
        <w:ind w:firstLine="422"/>
        <w:rPr>
          <w:rFonts w:hint="eastAsia" w:ascii="仿宋" w:hAnsi="仿宋" w:eastAsia="仿宋" w:cs="仿宋"/>
          <w:highlight w:val="none"/>
        </w:rPr>
      </w:pPr>
    </w:p>
    <w:p w14:paraId="058F6A76">
      <w:pPr>
        <w:rPr>
          <w:rFonts w:hint="eastAsia" w:ascii="仿宋" w:hAnsi="仿宋" w:eastAsia="仿宋" w:cs="仿宋"/>
          <w:highlight w:val="none"/>
        </w:rPr>
      </w:pPr>
    </w:p>
    <w:p w14:paraId="5E1556C8">
      <w:pPr>
        <w:pStyle w:val="19"/>
        <w:rPr>
          <w:rFonts w:hint="eastAsia" w:ascii="仿宋" w:hAnsi="仿宋" w:eastAsia="仿宋" w:cs="仿宋"/>
          <w:highlight w:val="none"/>
        </w:rPr>
      </w:pPr>
    </w:p>
    <w:p w14:paraId="69F72B14">
      <w:pPr>
        <w:pStyle w:val="19"/>
        <w:rPr>
          <w:rFonts w:hint="eastAsia" w:ascii="仿宋" w:hAnsi="仿宋" w:eastAsia="仿宋" w:cs="仿宋"/>
          <w:highlight w:val="none"/>
        </w:rPr>
      </w:pPr>
    </w:p>
    <w:p w14:paraId="6C4766B2">
      <w:pPr>
        <w:ind w:firstLine="562"/>
        <w:rPr>
          <w:rFonts w:hint="eastAsia" w:ascii="仿宋" w:hAnsi="仿宋" w:eastAsia="仿宋" w:cs="仿宋"/>
          <w:b/>
          <w:color w:val="000000"/>
          <w:sz w:val="28"/>
          <w:szCs w:val="28"/>
          <w:highlight w:val="none"/>
        </w:rPr>
      </w:pPr>
    </w:p>
    <w:p w14:paraId="050AA17E">
      <w:pPr>
        <w:pStyle w:val="19"/>
        <w:rPr>
          <w:rFonts w:hint="eastAsia" w:ascii="仿宋" w:hAnsi="仿宋" w:eastAsia="仿宋" w:cs="仿宋"/>
          <w:b/>
          <w:color w:val="000000"/>
          <w:sz w:val="28"/>
          <w:szCs w:val="28"/>
          <w:highlight w:val="none"/>
        </w:rPr>
      </w:pPr>
    </w:p>
    <w:p w14:paraId="48A4FEE2">
      <w:pPr>
        <w:pStyle w:val="7"/>
        <w:ind w:left="0" w:leftChars="0" w:firstLine="0" w:firstLineChars="0"/>
        <w:rPr>
          <w:rFonts w:hint="eastAsia" w:ascii="仿宋" w:hAnsi="仿宋" w:eastAsia="仿宋" w:cs="仿宋"/>
          <w:lang w:eastAsia="zh-CN"/>
        </w:rPr>
      </w:pPr>
    </w:p>
    <w:p w14:paraId="1206BAF0">
      <w:pPr>
        <w:rPr>
          <w:rFonts w:hint="eastAsia" w:ascii="仿宋" w:hAnsi="仿宋" w:eastAsia="仿宋" w:cs="仿宋"/>
          <w:lang w:eastAsia="zh-CN"/>
        </w:rPr>
      </w:pPr>
    </w:p>
    <w:p w14:paraId="5CE0FEBD">
      <w:pPr>
        <w:pStyle w:val="19"/>
        <w:rPr>
          <w:rFonts w:hint="eastAsia" w:ascii="仿宋" w:hAnsi="仿宋" w:eastAsia="仿宋" w:cs="仿宋"/>
          <w:lang w:eastAsia="zh-CN"/>
        </w:rPr>
      </w:pPr>
    </w:p>
    <w:p w14:paraId="61286BAC">
      <w:pPr>
        <w:rPr>
          <w:rFonts w:hint="eastAsia" w:ascii="仿宋" w:hAnsi="仿宋" w:eastAsia="仿宋" w:cs="仿宋"/>
          <w:lang w:val="en-US" w:eastAsia="zh-CN"/>
        </w:rPr>
      </w:pPr>
    </w:p>
    <w:p w14:paraId="1D2318D0">
      <w:pPr>
        <w:spacing w:line="480" w:lineRule="auto"/>
        <w:ind w:right="3360" w:rightChars="1600" w:firstLine="560"/>
        <w:jc w:val="center"/>
        <w:rPr>
          <w:rFonts w:hint="eastAsia" w:ascii="仿宋" w:hAnsi="仿宋" w:eastAsia="仿宋" w:cs="仿宋"/>
          <w:b/>
          <w:color w:val="000000"/>
          <w:sz w:val="28"/>
          <w:szCs w:val="28"/>
          <w:highlight w:val="none"/>
        </w:rPr>
      </w:pPr>
      <w:r>
        <w:rPr>
          <w:rFonts w:hint="eastAsia" w:ascii="仿宋" w:hAnsi="仿宋" w:eastAsia="仿宋" w:cs="仿宋"/>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3943350</wp:posOffset>
                </wp:positionH>
                <wp:positionV relativeFrom="paragraph">
                  <wp:posOffset>105410</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14:paraId="4AB64774">
                            <w:pPr>
                              <w:rPr>
                                <w:b/>
                                <w:bCs/>
                                <w:sz w:val="28"/>
                                <w:szCs w:val="28"/>
                              </w:rPr>
                            </w:pPr>
                            <w:r>
                              <w:rPr>
                                <w:rFonts w:hint="eastAsia"/>
                                <w:b/>
                                <w:bCs/>
                                <w:sz w:val="28"/>
                                <w:szCs w:val="28"/>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0.5pt;margin-top:8.3pt;height:36pt;width:57pt;z-index:251659264;mso-width-relative:page;mso-height-relative:page;" filled="f" stroked="t" coordsize="21600,21600" o:gfxdata="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748FdgAAAAJAQAADwAAAAAAAAABACAAAAAi&#10;AAAAZHJzL2Rvd25yZXYueG1sUEsBAhQAFAAAAAgAh07iQD9xrKlDAgAAawQAAA4AAAAAAAAAAQAg&#10;AAAAJwEAAGRycy9lMm9Eb2MueG1sUEsFBgAAAAAGAAYAWQEAANwFAAAAAA==&#10;">
                <v:fill on="f" focussize="0,0"/>
                <v:stroke color="#FFFFFF" miterlimit="8" joinstyle="miter"/>
                <v:imagedata o:title=""/>
                <o:lock v:ext="edit" aspectratio="f"/>
                <v:textbox>
                  <w:txbxContent>
                    <w:p w14:paraId="4AB64774">
                      <w:pPr>
                        <w:rPr>
                          <w:b/>
                          <w:bCs/>
                          <w:sz w:val="28"/>
                          <w:szCs w:val="28"/>
                        </w:rPr>
                      </w:pPr>
                      <w:r>
                        <w:rPr>
                          <w:rFonts w:hint="eastAsia"/>
                          <w:b/>
                          <w:bCs/>
                          <w:sz w:val="28"/>
                          <w:szCs w:val="28"/>
                        </w:rPr>
                        <w:t>制定</w:t>
                      </w:r>
                    </w:p>
                  </w:txbxContent>
                </v:textbox>
              </v:shape>
            </w:pict>
          </mc:Fallback>
        </mc:AlternateContent>
      </w:r>
      <w:r>
        <w:rPr>
          <w:rFonts w:hint="eastAsia" w:ascii="仿宋" w:hAnsi="仿宋" w:eastAsia="仿宋" w:cs="仿宋"/>
          <w:b/>
          <w:color w:val="000000"/>
          <w:sz w:val="28"/>
          <w:szCs w:val="28"/>
          <w:highlight w:val="none"/>
        </w:rPr>
        <w:t>住房和城乡建设部</w:t>
      </w:r>
    </w:p>
    <w:p w14:paraId="7071F62B">
      <w:pPr>
        <w:spacing w:line="480" w:lineRule="auto"/>
        <w:ind w:right="3139" w:rightChars="1495" w:firstLine="562"/>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国家工商行政管理总局</w:t>
      </w:r>
    </w:p>
    <w:p w14:paraId="2921B8DE">
      <w:pP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2AB4F0A1">
      <w:pPr>
        <w:spacing w:line="240" w:lineRule="auto"/>
        <w:ind w:firstLine="643"/>
        <w:jc w:val="center"/>
        <w:rPr>
          <w:rFonts w:hint="eastAsia" w:ascii="仿宋" w:hAnsi="仿宋" w:eastAsia="仿宋" w:cs="仿宋"/>
          <w:kern w:val="0"/>
          <w:sz w:val="24"/>
          <w:highlight w:val="none"/>
        </w:rPr>
      </w:pPr>
      <w:r>
        <w:rPr>
          <w:rFonts w:hint="eastAsia" w:ascii="仿宋" w:hAnsi="仿宋" w:eastAsia="仿宋" w:cs="仿宋"/>
          <w:b/>
          <w:kern w:val="0"/>
          <w:sz w:val="32"/>
          <w:szCs w:val="32"/>
          <w:highlight w:val="none"/>
        </w:rPr>
        <w:t>第一部分　合同协议书</w:t>
      </w:r>
    </w:p>
    <w:p w14:paraId="049F63CD">
      <w:pPr>
        <w:pageBreakBefore w:val="0"/>
        <w:kinsoku/>
        <w:wordWrap/>
        <w:overflowPunct/>
        <w:topLinePunct w:val="0"/>
        <w:bidi w:val="0"/>
        <w:spacing w:line="460" w:lineRule="exact"/>
        <w:ind w:firstLine="482"/>
        <w:textAlignment w:val="auto"/>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发包人：</w:t>
      </w:r>
      <w:r>
        <w:rPr>
          <w:rFonts w:hint="eastAsia" w:ascii="仿宋" w:hAnsi="仿宋" w:eastAsia="仿宋" w:cs="仿宋"/>
          <w:b/>
          <w:bCs/>
          <w:kern w:val="0"/>
          <w:sz w:val="24"/>
          <w:szCs w:val="24"/>
          <w:highlight w:val="none"/>
          <w:u w:val="single"/>
          <w:lang w:val="en-US" w:eastAsia="zh-CN"/>
        </w:rPr>
        <w:t xml:space="preserve">                                      </w:t>
      </w:r>
    </w:p>
    <w:p w14:paraId="50B00B19">
      <w:pPr>
        <w:pageBreakBefore w:val="0"/>
        <w:kinsoku/>
        <w:wordWrap/>
        <w:overflowPunct/>
        <w:topLinePunct w:val="0"/>
        <w:bidi w:val="0"/>
        <w:spacing w:line="460" w:lineRule="exact"/>
        <w:ind w:firstLine="482"/>
        <w:textAlignment w:val="auto"/>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设计人（牵头单位）：</w:t>
      </w:r>
      <w:r>
        <w:rPr>
          <w:rFonts w:hint="eastAsia" w:ascii="仿宋" w:hAnsi="仿宋" w:eastAsia="仿宋" w:cs="仿宋"/>
          <w:b/>
          <w:bCs/>
          <w:kern w:val="0"/>
          <w:sz w:val="24"/>
          <w:szCs w:val="24"/>
          <w:highlight w:val="none"/>
          <w:u w:val="single"/>
          <w:lang w:val="en-US" w:eastAsia="zh-CN"/>
        </w:rPr>
        <w:t xml:space="preserve">                          </w:t>
      </w:r>
    </w:p>
    <w:p w14:paraId="445F8856">
      <w:pPr>
        <w:pageBreakBefore w:val="0"/>
        <w:kinsoku/>
        <w:wordWrap/>
        <w:overflowPunct/>
        <w:topLinePunct w:val="0"/>
        <w:bidi w:val="0"/>
        <w:spacing w:line="460" w:lineRule="exact"/>
        <w:ind w:firstLine="482"/>
        <w:textAlignment w:val="auto"/>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设计人（成员单位）：</w:t>
      </w:r>
      <w:r>
        <w:rPr>
          <w:rFonts w:hint="eastAsia" w:ascii="仿宋" w:hAnsi="仿宋" w:eastAsia="仿宋" w:cs="仿宋"/>
          <w:b/>
          <w:bCs/>
          <w:kern w:val="0"/>
          <w:sz w:val="24"/>
          <w:szCs w:val="24"/>
          <w:highlight w:val="none"/>
          <w:u w:val="single"/>
          <w:lang w:val="en-US" w:eastAsia="zh-CN"/>
        </w:rPr>
        <w:t xml:space="preserve">                          </w:t>
      </w:r>
    </w:p>
    <w:p w14:paraId="477431B1">
      <w:pPr>
        <w:pStyle w:val="11"/>
        <w:pageBreakBefore w:val="0"/>
        <w:kinsoku/>
        <w:wordWrap/>
        <w:overflowPunct/>
        <w:topLinePunct w:val="0"/>
        <w:bidi w:val="0"/>
        <w:spacing w:after="0" w:line="460" w:lineRule="exact"/>
        <w:ind w:right="-6"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根据《中华人民共和国民法典》、《中华人民共和国建筑法》及有关法律规定，遵循平等、自愿、公平和诚实信用的原则，双方就</w:t>
      </w:r>
      <w:r>
        <w:rPr>
          <w:rFonts w:hint="eastAsia" w:ascii="仿宋" w:hAnsi="仿宋" w:eastAsia="仿宋" w:cs="仿宋"/>
          <w:sz w:val="24"/>
          <w:szCs w:val="24"/>
          <w:highlight w:val="none"/>
          <w:u w:val="single"/>
        </w:rPr>
        <w:t xml:space="preserve"> 莲湖区2026年城市“断头路”打通工程设计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有关事项协商一致，共同达成如下协议：</w:t>
      </w:r>
    </w:p>
    <w:p w14:paraId="43522CB5">
      <w:pPr>
        <w:pStyle w:val="11"/>
        <w:pageBreakBefore w:val="0"/>
        <w:kinsoku/>
        <w:wordWrap/>
        <w:overflowPunct/>
        <w:topLinePunct w:val="0"/>
        <w:bidi w:val="0"/>
        <w:spacing w:after="0" w:line="460" w:lineRule="exact"/>
        <w:ind w:right="-6" w:firstLine="482"/>
        <w:textAlignment w:val="auto"/>
        <w:outlineLvl w:val="3"/>
        <w:rPr>
          <w:rFonts w:hint="eastAsia" w:ascii="仿宋" w:hAnsi="仿宋" w:eastAsia="仿宋" w:cs="仿宋"/>
          <w:b/>
          <w:sz w:val="24"/>
          <w:szCs w:val="24"/>
          <w:highlight w:val="none"/>
        </w:rPr>
      </w:pPr>
      <w:r>
        <w:rPr>
          <w:rFonts w:hint="eastAsia" w:ascii="仿宋" w:hAnsi="仿宋" w:eastAsia="仿宋" w:cs="仿宋"/>
          <w:b/>
          <w:sz w:val="24"/>
          <w:szCs w:val="24"/>
          <w:highlight w:val="none"/>
        </w:rPr>
        <w:t>一、工程概况</w:t>
      </w:r>
    </w:p>
    <w:p w14:paraId="55A37909">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工程</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莲湖区2026年城市“断头路”打通工程设计 </w:t>
      </w:r>
    </w:p>
    <w:p w14:paraId="022EA035">
      <w:pPr>
        <w:pageBreakBefore w:val="0"/>
        <w:kinsoku/>
        <w:wordWrap/>
        <w:overflowPunct/>
        <w:topLinePunct w:val="0"/>
        <w:bidi w:val="0"/>
        <w:spacing w:line="460" w:lineRule="exact"/>
        <w:ind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工程地点：</w:t>
      </w:r>
      <w:r>
        <w:rPr>
          <w:rFonts w:hint="eastAsia" w:ascii="仿宋" w:hAnsi="仿宋" w:eastAsia="仿宋" w:cs="仿宋"/>
          <w:sz w:val="24"/>
          <w:szCs w:val="24"/>
          <w:highlight w:val="none"/>
          <w:u w:val="single"/>
          <w:lang w:val="en-US" w:eastAsia="zh-CN"/>
        </w:rPr>
        <w:t xml:space="preserve"> 西安市莲湖区 </w:t>
      </w:r>
    </w:p>
    <w:p w14:paraId="2A14CDA6">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工作范围：</w:t>
      </w:r>
      <w:r>
        <w:rPr>
          <w:rFonts w:hint="eastAsia" w:ascii="仿宋" w:hAnsi="仿宋" w:eastAsia="仿宋" w:cs="仿宋"/>
          <w:kern w:val="0"/>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本次建设的育苗路北延伸路、铁塔寺北侧规划路、南小巷南段等3条道路均位于莲湖区范围，服务内容包括3条道路的初步设计和施工图设计工作以及施工过程等的后续服务配合工作 </w:t>
      </w:r>
      <w:r>
        <w:rPr>
          <w:rFonts w:hint="eastAsia" w:ascii="仿宋" w:hAnsi="仿宋" w:eastAsia="仿宋" w:cs="仿宋"/>
          <w:sz w:val="24"/>
          <w:szCs w:val="24"/>
          <w:highlight w:val="none"/>
        </w:rPr>
        <w:t>。</w:t>
      </w:r>
    </w:p>
    <w:p w14:paraId="252AB8E4">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4、投资估</w:t>
      </w:r>
      <w:r>
        <w:rPr>
          <w:rFonts w:hint="eastAsia" w:ascii="仿宋" w:hAnsi="仿宋" w:eastAsia="仿宋" w:cs="仿宋"/>
          <w:sz w:val="24"/>
          <w:szCs w:val="24"/>
          <w:highlight w:val="none"/>
          <w:u w:val="none"/>
          <w:lang w:val="en-US" w:eastAsia="zh-CN"/>
        </w:rPr>
        <w:t>算：</w:t>
      </w:r>
      <w:r>
        <w:rPr>
          <w:rFonts w:hint="eastAsia" w:ascii="仿宋" w:hAnsi="仿宋" w:eastAsia="仿宋" w:cs="仿宋"/>
          <w:sz w:val="24"/>
          <w:szCs w:val="24"/>
          <w:highlight w:val="none"/>
          <w:u w:val="single"/>
          <w:lang w:val="en-US" w:eastAsia="zh-CN"/>
        </w:rPr>
        <w:t xml:space="preserve"> 5600.00万元 </w:t>
      </w:r>
    </w:p>
    <w:p w14:paraId="5E9EF7B8">
      <w:pPr>
        <w:pStyle w:val="11"/>
        <w:pageBreakBefore w:val="0"/>
        <w:kinsoku/>
        <w:wordWrap/>
        <w:overflowPunct/>
        <w:topLinePunct w:val="0"/>
        <w:bidi w:val="0"/>
        <w:spacing w:after="0" w:line="460" w:lineRule="exact"/>
        <w:ind w:right="-6" w:firstLine="482"/>
        <w:textAlignment w:val="auto"/>
        <w:outlineLvl w:val="3"/>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rPr>
        <w:t>二、</w:t>
      </w:r>
      <w:r>
        <w:rPr>
          <w:rFonts w:hint="eastAsia" w:ascii="仿宋" w:hAnsi="仿宋" w:eastAsia="仿宋" w:cs="仿宋"/>
          <w:b/>
          <w:sz w:val="24"/>
          <w:szCs w:val="24"/>
          <w:highlight w:val="none"/>
          <w:lang w:val="en-US" w:eastAsia="zh-CN"/>
        </w:rPr>
        <w:t>工程设计范围、阶段与服务内容</w:t>
      </w:r>
    </w:p>
    <w:p w14:paraId="41FB83BE">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工程设计范围</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育苗路北延伸路、铁塔寺北侧规划路、南小巷南段等3条道路 </w:t>
      </w:r>
      <w:r>
        <w:rPr>
          <w:rFonts w:hint="eastAsia" w:ascii="仿宋" w:hAnsi="仿宋" w:eastAsia="仿宋" w:cs="仿宋"/>
          <w:sz w:val="24"/>
          <w:szCs w:val="24"/>
          <w:highlight w:val="none"/>
          <w:u w:val="none"/>
          <w:lang w:eastAsia="zh-CN"/>
        </w:rPr>
        <w:t>。</w:t>
      </w:r>
    </w:p>
    <w:p w14:paraId="3DC7862F">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工程设计阶段：</w:t>
      </w:r>
      <w:r>
        <w:rPr>
          <w:rFonts w:hint="eastAsia" w:ascii="仿宋" w:hAnsi="仿宋" w:eastAsia="仿宋" w:cs="仿宋"/>
          <w:sz w:val="24"/>
          <w:szCs w:val="24"/>
          <w:highlight w:val="none"/>
          <w:u w:val="single"/>
          <w:lang w:val="en-US" w:eastAsia="zh-CN"/>
        </w:rPr>
        <w:t xml:space="preserve"> 初步设计阶段、施工图设计阶段 </w:t>
      </w:r>
    </w:p>
    <w:p w14:paraId="5EF00884">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lang w:val="en-US" w:eastAsia="zh-CN"/>
        </w:rPr>
      </w:pPr>
      <w:r>
        <w:rPr>
          <w:rFonts w:hint="eastAsia" w:ascii="仿宋" w:hAnsi="仿宋" w:eastAsia="仿宋" w:cs="仿宋"/>
          <w:sz w:val="24"/>
          <w:szCs w:val="24"/>
          <w:highlight w:val="none"/>
          <w:lang w:val="en-US" w:eastAsia="zh-CN"/>
        </w:rPr>
        <w:t>3、工程设计服务内容：</w:t>
      </w:r>
      <w:r>
        <w:rPr>
          <w:rFonts w:hint="eastAsia" w:ascii="仿宋" w:hAnsi="仿宋" w:eastAsia="仿宋" w:cs="仿宋"/>
          <w:sz w:val="24"/>
          <w:szCs w:val="24"/>
          <w:highlight w:val="none"/>
          <w:u w:val="single"/>
          <w:lang w:val="en-US" w:eastAsia="zh-CN"/>
        </w:rPr>
        <w:t>本次建设的育苗路北延伸路、铁塔寺北侧规划路、南小巷南段等3条道路均位于莲湖区范围，服务内容包括3条道路的初步设计和施工图设计工作以及施工过程等的后续服务配合工作。</w:t>
      </w:r>
    </w:p>
    <w:p w14:paraId="7369E547">
      <w:pPr>
        <w:pStyle w:val="11"/>
        <w:pageBreakBefore w:val="0"/>
        <w:kinsoku/>
        <w:wordWrap/>
        <w:overflowPunct/>
        <w:topLinePunct w:val="0"/>
        <w:bidi w:val="0"/>
        <w:spacing w:after="0" w:line="460" w:lineRule="exact"/>
        <w:ind w:right="-6" w:firstLine="482"/>
        <w:textAlignment w:val="auto"/>
        <w:outlineLvl w:val="3"/>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三、工程设计周期</w:t>
      </w:r>
    </w:p>
    <w:p w14:paraId="52E893D5">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设计开始设计日期</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日</w:t>
      </w:r>
    </w:p>
    <w:p w14:paraId="7D4225C0">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设计完成设计日期：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日</w:t>
      </w:r>
    </w:p>
    <w:p w14:paraId="08154776">
      <w:pPr>
        <w:pStyle w:val="11"/>
        <w:pageBreakBefore w:val="0"/>
        <w:kinsoku/>
        <w:wordWrap/>
        <w:overflowPunct/>
        <w:topLinePunct w:val="0"/>
        <w:bidi w:val="0"/>
        <w:spacing w:after="0" w:line="460" w:lineRule="exact"/>
        <w:ind w:right="-692" w:firstLine="482"/>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具体工程设计周期以专用合同条款及其附件的约定为准。</w:t>
      </w:r>
    </w:p>
    <w:p w14:paraId="041A50FD">
      <w:pPr>
        <w:pStyle w:val="11"/>
        <w:pageBreakBefore w:val="0"/>
        <w:kinsoku/>
        <w:wordWrap/>
        <w:overflowPunct/>
        <w:topLinePunct w:val="0"/>
        <w:bidi w:val="0"/>
        <w:spacing w:after="0" w:line="460" w:lineRule="exact"/>
        <w:ind w:right="-6" w:firstLine="482"/>
        <w:textAlignment w:val="auto"/>
        <w:outlineLvl w:val="3"/>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四、合同价格形式与签约合同价</w:t>
      </w:r>
    </w:p>
    <w:p w14:paraId="490B4088">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合同价格形式</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固定总价合同 </w:t>
      </w:r>
      <w:r>
        <w:rPr>
          <w:rFonts w:hint="eastAsia" w:ascii="仿宋" w:hAnsi="仿宋" w:eastAsia="仿宋" w:cs="仿宋"/>
          <w:sz w:val="24"/>
          <w:szCs w:val="24"/>
          <w:highlight w:val="none"/>
          <w:u w:val="none"/>
          <w:lang w:val="en-US" w:eastAsia="zh-CN"/>
        </w:rPr>
        <w:t>；</w:t>
      </w:r>
    </w:p>
    <w:p w14:paraId="76720DF7">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签约合同价为：</w:t>
      </w:r>
    </w:p>
    <w:p w14:paraId="0FF77161">
      <w:pPr>
        <w:pStyle w:val="11"/>
        <w:pageBreakBefore w:val="0"/>
        <w:kinsoku/>
        <w:wordWrap/>
        <w:overflowPunct/>
        <w:topLinePunct w:val="0"/>
        <w:bidi w:val="0"/>
        <w:spacing w:after="0" w:line="460" w:lineRule="exact"/>
        <w:ind w:left="-2" w:leftChars="-1" w:right="-5" w:firstLine="480"/>
        <w:textAlignment w:val="auto"/>
        <w:rPr>
          <w:rFonts w:hint="eastAsia" w:ascii="仿宋" w:hAnsi="仿宋" w:eastAsia="仿宋" w:cs="仿宋"/>
          <w:b/>
          <w:sz w:val="24"/>
          <w:szCs w:val="24"/>
          <w:highlight w:val="none"/>
          <w:lang w:val="en-US" w:eastAsia="zh-CN"/>
        </w:rPr>
      </w:pPr>
      <w:r>
        <w:rPr>
          <w:rFonts w:hint="eastAsia" w:ascii="仿宋" w:hAnsi="仿宋" w:eastAsia="仿宋" w:cs="仿宋"/>
          <w:sz w:val="24"/>
          <w:szCs w:val="24"/>
          <w:highlight w:val="none"/>
          <w:lang w:val="en-US" w:eastAsia="zh-CN"/>
        </w:rPr>
        <w:t>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w:t>
      </w:r>
      <w:r>
        <w:rPr>
          <w:rFonts w:hint="eastAsia" w:ascii="仿宋" w:hAnsi="仿宋" w:eastAsia="仿宋" w:cs="仿宋"/>
          <w:i w:val="0"/>
          <w:iCs w:val="0"/>
          <w:caps w:val="0"/>
          <w:color w:val="212529"/>
          <w:spacing w:val="0"/>
          <w:sz w:val="24"/>
          <w:szCs w:val="24"/>
          <w:shd w:val="clear" w:fill="FFFFFF"/>
          <w:lang w:val="en-US" w:eastAsia="zh-CN"/>
        </w:rPr>
        <w:t>小写：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i w:val="0"/>
          <w:iCs w:val="0"/>
          <w:caps w:val="0"/>
          <w:color w:val="212529"/>
          <w:spacing w:val="0"/>
          <w:sz w:val="24"/>
          <w:szCs w:val="24"/>
          <w:shd w:val="clear" w:fill="FFFFFF"/>
          <w:lang w:val="en-US" w:eastAsia="zh-CN"/>
        </w:rPr>
        <w:t>元</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en-US" w:eastAsia="zh-CN"/>
        </w:rPr>
        <w:t>。</w:t>
      </w:r>
    </w:p>
    <w:p w14:paraId="20FEF0F4">
      <w:pPr>
        <w:pStyle w:val="11"/>
        <w:pageBreakBefore w:val="0"/>
        <w:kinsoku/>
        <w:wordWrap/>
        <w:overflowPunct/>
        <w:topLinePunct w:val="0"/>
        <w:bidi w:val="0"/>
        <w:spacing w:after="0" w:line="460" w:lineRule="exact"/>
        <w:ind w:right="-6" w:firstLine="482"/>
        <w:textAlignment w:val="auto"/>
        <w:outlineLvl w:val="3"/>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五、发包人代表与设计人项目负责人</w:t>
      </w:r>
    </w:p>
    <w:p w14:paraId="0729E705">
      <w:pPr>
        <w:pStyle w:val="11"/>
        <w:pageBreakBefore w:val="0"/>
        <w:kinsoku/>
        <w:wordWrap/>
        <w:overflowPunct/>
        <w:topLinePunct w:val="0"/>
        <w:bidi w:val="0"/>
        <w:spacing w:after="0" w:line="460" w:lineRule="exact"/>
        <w:ind w:right="-692" w:firstLine="482"/>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发包人代表：</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lang w:val="en-US" w:eastAsia="zh-CN"/>
        </w:rPr>
        <w:t>。</w:t>
      </w:r>
    </w:p>
    <w:p w14:paraId="055C78EB">
      <w:pPr>
        <w:pStyle w:val="11"/>
        <w:pageBreakBefore w:val="0"/>
        <w:kinsoku/>
        <w:wordWrap/>
        <w:overflowPunct/>
        <w:topLinePunct w:val="0"/>
        <w:bidi w:val="0"/>
        <w:spacing w:after="0" w:line="460" w:lineRule="exact"/>
        <w:ind w:right="-692" w:firstLine="482"/>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设计人项目负责人：</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lang w:val="en-US" w:eastAsia="zh-CN"/>
        </w:rPr>
        <w:t>。</w:t>
      </w:r>
    </w:p>
    <w:p w14:paraId="163E88A6">
      <w:pPr>
        <w:pStyle w:val="11"/>
        <w:pageBreakBefore w:val="0"/>
        <w:kinsoku/>
        <w:wordWrap/>
        <w:overflowPunct/>
        <w:topLinePunct w:val="0"/>
        <w:bidi w:val="0"/>
        <w:spacing w:after="0" w:line="460" w:lineRule="exact"/>
        <w:ind w:right="-692" w:firstLine="482"/>
        <w:textAlignment w:val="auto"/>
        <w:outlineLvl w:val="3"/>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六</w:t>
      </w:r>
      <w:r>
        <w:rPr>
          <w:rFonts w:hint="eastAsia" w:ascii="仿宋" w:hAnsi="仿宋" w:eastAsia="仿宋" w:cs="仿宋"/>
          <w:b/>
          <w:sz w:val="24"/>
          <w:szCs w:val="24"/>
          <w:highlight w:val="none"/>
        </w:rPr>
        <w:t>、合同</w:t>
      </w:r>
      <w:r>
        <w:rPr>
          <w:rFonts w:hint="eastAsia" w:ascii="仿宋" w:hAnsi="仿宋" w:eastAsia="仿宋" w:cs="仿宋"/>
          <w:b/>
          <w:sz w:val="24"/>
          <w:szCs w:val="24"/>
          <w:highlight w:val="none"/>
          <w:lang w:val="en-US" w:eastAsia="zh-CN"/>
        </w:rPr>
        <w:t>文件构成</w:t>
      </w:r>
    </w:p>
    <w:p w14:paraId="7670CA7A">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本协议书与下列文件一起构成合同文件：</w:t>
      </w:r>
    </w:p>
    <w:p w14:paraId="03166AC7">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1、专用合同条款及其附件；</w:t>
      </w:r>
    </w:p>
    <w:p w14:paraId="58578F52">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、通用合同条款；</w:t>
      </w:r>
    </w:p>
    <w:p w14:paraId="10359BA2">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3、其他补充协议、补充合同文件；</w:t>
      </w:r>
    </w:p>
    <w:p w14:paraId="46AFEA0F">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4、成交通知书；</w:t>
      </w:r>
    </w:p>
    <w:p w14:paraId="63887639">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5、投标函及其附录（如果有）；</w:t>
      </w:r>
    </w:p>
    <w:p w14:paraId="0EAD27D1">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6、磋商文件，澄清答疑，响应文件及其附件；</w:t>
      </w:r>
    </w:p>
    <w:p w14:paraId="7270B43C">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7、发包人要求；</w:t>
      </w:r>
    </w:p>
    <w:p w14:paraId="7D8E8CF2">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8、技术标准；</w:t>
      </w:r>
    </w:p>
    <w:p w14:paraId="352EC4CC">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9、其他合同文件。</w:t>
      </w:r>
    </w:p>
    <w:p w14:paraId="718DBA18">
      <w:pPr>
        <w:pStyle w:val="11"/>
        <w:pageBreakBefore w:val="0"/>
        <w:kinsoku/>
        <w:wordWrap/>
        <w:overflowPunct/>
        <w:topLinePunct w:val="0"/>
        <w:bidi w:val="0"/>
        <w:spacing w:after="0" w:line="460" w:lineRule="exact"/>
        <w:ind w:right="-5" w:firstLine="48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在合同履行</w:t>
      </w:r>
      <w:r>
        <w:rPr>
          <w:rFonts w:hint="eastAsia" w:ascii="仿宋" w:hAnsi="仿宋" w:eastAsia="仿宋" w:cs="仿宋"/>
          <w:sz w:val="24"/>
          <w:szCs w:val="24"/>
          <w:highlight w:val="none"/>
        </w:rPr>
        <w:t>过程中形成的与合同有关的文件均构成合同文件组成部分</w:t>
      </w:r>
      <w:r>
        <w:rPr>
          <w:rFonts w:hint="eastAsia" w:ascii="仿宋" w:hAnsi="仿宋" w:eastAsia="仿宋" w:cs="仿宋"/>
          <w:sz w:val="24"/>
          <w:szCs w:val="24"/>
          <w:highlight w:val="none"/>
          <w:lang w:eastAsia="zh-CN"/>
        </w:rPr>
        <w:t>。</w:t>
      </w:r>
    </w:p>
    <w:p w14:paraId="69443271">
      <w:pPr>
        <w:pStyle w:val="11"/>
        <w:pageBreakBefore w:val="0"/>
        <w:kinsoku/>
        <w:wordWrap/>
        <w:overflowPunct/>
        <w:topLinePunct w:val="0"/>
        <w:bidi w:val="0"/>
        <w:spacing w:after="0" w:line="460" w:lineRule="exact"/>
        <w:ind w:right="-5"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上述各项合同文件包括合同当事人就该项合同文件所作出的补充和修改，属于同一类内容的文件，应以最新签署的为准。</w:t>
      </w:r>
    </w:p>
    <w:p w14:paraId="5FB12308">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七、承诺</w:t>
      </w:r>
    </w:p>
    <w:p w14:paraId="486C7AD9">
      <w:pPr>
        <w:pageBreakBefore w:val="0"/>
        <w:kinsoku/>
        <w:wordWrap/>
        <w:overflowPunct/>
        <w:topLinePunct w:val="0"/>
        <w:bidi w:val="0"/>
        <w:spacing w:line="460" w:lineRule="exact"/>
        <w:ind w:right="-4" w:rightChars="-2"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发包人承诺按照法律规定履行项目审批手续，按照合同约定提供设计依据，并按合同约定的期限和方式支付合同价款。</w:t>
      </w:r>
    </w:p>
    <w:p w14:paraId="45BAE38F">
      <w:pPr>
        <w:pageBreakBefore w:val="0"/>
        <w:kinsoku/>
        <w:wordWrap/>
        <w:overflowPunct/>
        <w:topLinePunct w:val="0"/>
        <w:bidi w:val="0"/>
        <w:spacing w:line="460" w:lineRule="exact"/>
        <w:ind w:right="-4" w:rightChars="-2" w:firstLine="48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设计人承诺按照法律和技术标准规定及合同约定提供工程设计服务。</w:t>
      </w:r>
    </w:p>
    <w:p w14:paraId="7B8F2C4E">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词语含义</w:t>
      </w:r>
    </w:p>
    <w:p w14:paraId="74663ECC">
      <w:pPr>
        <w:pageBreakBefore w:val="0"/>
        <w:kinsoku/>
        <w:wordWrap/>
        <w:overflowPunct/>
        <w:topLinePunct w:val="0"/>
        <w:bidi w:val="0"/>
        <w:spacing w:line="460" w:lineRule="exact"/>
        <w:ind w:right="-4" w:rightChars="-2"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本协议书中词语含义与第二部分通用合同条款中赋予的含义相同。</w:t>
      </w:r>
    </w:p>
    <w:p w14:paraId="002FDE5A">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签订地点</w:t>
      </w:r>
    </w:p>
    <w:p w14:paraId="5A20DBFD">
      <w:pPr>
        <w:pageBreakBefore w:val="0"/>
        <w:kinsoku/>
        <w:wordWrap/>
        <w:overflowPunct/>
        <w:topLinePunct w:val="0"/>
        <w:bidi w:val="0"/>
        <w:spacing w:line="460" w:lineRule="exact"/>
        <w:ind w:right="-4" w:rightChars="-2"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签订。</w:t>
      </w:r>
    </w:p>
    <w:p w14:paraId="4509ADF8">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补充协议</w:t>
      </w:r>
    </w:p>
    <w:p w14:paraId="0B773A3D">
      <w:pPr>
        <w:pStyle w:val="11"/>
        <w:pageBreakBefore w:val="0"/>
        <w:kinsoku/>
        <w:wordWrap/>
        <w:overflowPunct/>
        <w:topLinePunct w:val="0"/>
        <w:bidi w:val="0"/>
        <w:spacing w:after="0" w:line="460" w:lineRule="exact"/>
        <w:ind w:right="-110" w:firstLine="480"/>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合同未尽事宜，合同当事人另行签订补充协议，补充协议是合同的组成部分。</w:t>
      </w:r>
    </w:p>
    <w:p w14:paraId="0BEF48DD">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十一</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合同生效</w:t>
      </w:r>
    </w:p>
    <w:p w14:paraId="4F172063">
      <w:pPr>
        <w:pageBreakBefore w:val="0"/>
        <w:kinsoku/>
        <w:wordWrap/>
        <w:overflowPunct/>
        <w:topLinePunct w:val="0"/>
        <w:bidi w:val="0"/>
        <w:spacing w:line="460" w:lineRule="exact"/>
        <w:ind w:right="-4" w:rightChars="-2"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本合同自</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生效</w:t>
      </w:r>
      <w:r>
        <w:rPr>
          <w:rFonts w:hint="eastAsia" w:ascii="仿宋" w:hAnsi="仿宋" w:eastAsia="仿宋" w:cs="仿宋"/>
          <w:sz w:val="24"/>
          <w:szCs w:val="24"/>
          <w:highlight w:val="none"/>
          <w:lang w:val="en-US" w:eastAsia="zh-CN"/>
        </w:rPr>
        <w:t>。</w:t>
      </w:r>
    </w:p>
    <w:p w14:paraId="34E323BB">
      <w:pPr>
        <w:pageBreakBefore w:val="0"/>
        <w:kinsoku/>
        <w:wordWrap/>
        <w:overflowPunct/>
        <w:topLinePunct w:val="0"/>
        <w:bidi w:val="0"/>
        <w:spacing w:line="460" w:lineRule="exact"/>
        <w:ind w:right="-4" w:rightChars="-2" w:firstLine="482"/>
        <w:textAlignment w:val="auto"/>
        <w:outlineLvl w:val="3"/>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十二</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合同份数</w:t>
      </w:r>
    </w:p>
    <w:p w14:paraId="0F351D1A">
      <w:pPr>
        <w:pStyle w:val="11"/>
        <w:pageBreakBefore w:val="0"/>
        <w:kinsoku/>
        <w:wordWrap/>
        <w:overflowPunct/>
        <w:topLinePunct w:val="0"/>
        <w:bidi w:val="0"/>
        <w:spacing w:after="0" w:line="460" w:lineRule="exact"/>
        <w:ind w:right="-110" w:firstLine="480"/>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本合同</w:t>
      </w:r>
      <w:r>
        <w:rPr>
          <w:rFonts w:hint="eastAsia" w:ascii="仿宋" w:hAnsi="仿宋" w:eastAsia="仿宋" w:cs="仿宋"/>
          <w:sz w:val="24"/>
          <w:szCs w:val="24"/>
          <w:highlight w:val="none"/>
          <w:lang w:val="en-US" w:eastAsia="zh-CN"/>
        </w:rPr>
        <w:t>正本</w:t>
      </w:r>
      <w:r>
        <w:rPr>
          <w:rFonts w:hint="eastAsia" w:ascii="仿宋" w:hAnsi="仿宋" w:eastAsia="仿宋" w:cs="仿宋"/>
          <w:sz w:val="24"/>
          <w:szCs w:val="24"/>
          <w:highlight w:val="none"/>
        </w:rPr>
        <w:t>一式</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份，副本一式</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val="en-US" w:eastAsia="zh-CN"/>
        </w:rPr>
        <w:t>均具有同等法律效力，发包人执</w:t>
      </w:r>
      <w:r>
        <w:rPr>
          <w:rFonts w:hint="eastAsia" w:ascii="仿宋" w:hAnsi="仿宋" w:eastAsia="仿宋" w:cs="仿宋"/>
          <w:sz w:val="24"/>
          <w:szCs w:val="24"/>
          <w:highlight w:val="none"/>
        </w:rPr>
        <w:t>正本</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份，副本</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设计人执</w:t>
      </w:r>
      <w:r>
        <w:rPr>
          <w:rFonts w:hint="eastAsia" w:ascii="仿宋" w:hAnsi="仿宋" w:eastAsia="仿宋" w:cs="仿宋"/>
          <w:sz w:val="24"/>
          <w:szCs w:val="24"/>
          <w:highlight w:val="none"/>
        </w:rPr>
        <w:t>正本</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份，副本</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w:t>
      </w:r>
    </w:p>
    <w:p w14:paraId="180A0E59">
      <w:pPr>
        <w:pStyle w:val="7"/>
        <w:rPr>
          <w:rFonts w:hint="eastAsia" w:ascii="仿宋" w:hAnsi="仿宋" w:eastAsia="仿宋" w:cs="仿宋"/>
          <w:sz w:val="24"/>
          <w:szCs w:val="24"/>
          <w:highlight w:val="none"/>
        </w:rPr>
      </w:pPr>
    </w:p>
    <w:p w14:paraId="59492ECC">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发包</w:t>
      </w:r>
      <w:r>
        <w:rPr>
          <w:rFonts w:hint="eastAsia" w:ascii="仿宋" w:hAnsi="仿宋" w:eastAsia="仿宋" w:cs="仿宋"/>
          <w:sz w:val="24"/>
          <w:highlight w:val="none"/>
        </w:rPr>
        <w:t>人：（盖章）</w:t>
      </w:r>
      <w:r>
        <w:rPr>
          <w:rFonts w:hint="eastAsia" w:ascii="仿宋" w:hAnsi="仿宋" w:eastAsia="仿宋" w:cs="仿宋"/>
          <w:sz w:val="24"/>
          <w:highlight w:val="none"/>
          <w:lang w:val="en-US" w:eastAsia="zh-CN"/>
        </w:rPr>
        <w:t xml:space="preserve">                         设计</w:t>
      </w:r>
      <w:r>
        <w:rPr>
          <w:rFonts w:hint="eastAsia" w:ascii="仿宋" w:hAnsi="仿宋" w:eastAsia="仿宋" w:cs="仿宋"/>
          <w:sz w:val="24"/>
          <w:highlight w:val="none"/>
        </w:rPr>
        <w:t>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牵头单位</w:t>
      </w:r>
      <w:r>
        <w:rPr>
          <w:rFonts w:hint="eastAsia" w:ascii="仿宋" w:hAnsi="仿宋" w:eastAsia="仿宋" w:cs="仿宋"/>
          <w:sz w:val="24"/>
          <w:highlight w:val="none"/>
          <w:lang w:eastAsia="zh-CN"/>
        </w:rPr>
        <w:t>）</w:t>
      </w:r>
      <w:r>
        <w:rPr>
          <w:rFonts w:hint="eastAsia" w:ascii="仿宋" w:hAnsi="仿宋" w:eastAsia="仿宋" w:cs="仿宋"/>
          <w:sz w:val="24"/>
          <w:highlight w:val="none"/>
        </w:rPr>
        <w:t>：（盖章）</w:t>
      </w:r>
    </w:p>
    <w:p w14:paraId="6650D86E">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331BB84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法定代表人</w:t>
      </w:r>
      <w:r>
        <w:rPr>
          <w:rFonts w:hint="eastAsia" w:ascii="仿宋" w:hAnsi="仿宋" w:eastAsia="仿宋" w:cs="仿宋"/>
          <w:sz w:val="24"/>
          <w:highlight w:val="none"/>
          <w:lang w:eastAsia="zh-CN"/>
        </w:rPr>
        <w:t>：</w:t>
      </w:r>
      <w:r>
        <w:rPr>
          <w:rFonts w:hint="eastAsia" w:ascii="仿宋" w:hAnsi="仿宋" w:eastAsia="仿宋" w:cs="仿宋"/>
          <w:sz w:val="24"/>
          <w:highlight w:val="none"/>
        </w:rPr>
        <w:t>（签字）</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w:t>
      </w:r>
      <w:r>
        <w:rPr>
          <w:rFonts w:hint="eastAsia" w:ascii="仿宋" w:hAnsi="仿宋" w:eastAsia="仿宋" w:cs="仿宋"/>
          <w:sz w:val="24"/>
          <w:highlight w:val="none"/>
          <w:lang w:eastAsia="zh-CN"/>
        </w:rPr>
        <w:t>：</w:t>
      </w:r>
      <w:r>
        <w:rPr>
          <w:rFonts w:hint="eastAsia" w:ascii="仿宋" w:hAnsi="仿宋" w:eastAsia="仿宋" w:cs="仿宋"/>
          <w:sz w:val="24"/>
          <w:highlight w:val="none"/>
        </w:rPr>
        <w:t>（签字）</w:t>
      </w:r>
    </w:p>
    <w:p w14:paraId="301A91C0">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5893525B">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rPr>
        <w:t>授权代理人：（签字）</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授权代理人：（签字）</w:t>
      </w:r>
    </w:p>
    <w:p w14:paraId="7F490DB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7212D43A">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地址</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地址</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p>
    <w:p w14:paraId="40D15AF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rPr>
        <w:t>开户银行：</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开户银行：</w:t>
      </w:r>
    </w:p>
    <w:p w14:paraId="791AF584">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rPr>
        <w:t>账号：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账号：</w:t>
      </w:r>
    </w:p>
    <w:p w14:paraId="66AD898B">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电话：</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电话：</w:t>
      </w:r>
    </w:p>
    <w:p w14:paraId="121F77E4">
      <w:pPr>
        <w:keepNext w:val="0"/>
        <w:keepLines w:val="0"/>
        <w:pageBreakBefore w:val="0"/>
        <w:kinsoku/>
        <w:wordWrap/>
        <w:overflowPunct/>
        <w:topLinePunct w:val="0"/>
        <w:autoSpaceDE/>
        <w:autoSpaceDN/>
        <w:bidi w:val="0"/>
        <w:adjustRightInd w:val="0"/>
        <w:snapToGrid/>
        <w:spacing w:beforeAutospacing="0" w:afterAutospacing="0" w:line="360" w:lineRule="auto"/>
        <w:ind w:left="0" w:firstLine="480" w:firstLineChars="200"/>
        <w:contextualSpacing/>
        <w:jc w:val="both"/>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eastAsia="zh-CN"/>
        </w:rPr>
        <w:t>签订日期：</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日</w:t>
      </w:r>
      <w:r>
        <w:rPr>
          <w:rFonts w:hint="eastAsia" w:ascii="仿宋" w:hAnsi="仿宋" w:eastAsia="仿宋" w:cs="仿宋"/>
          <w:sz w:val="24"/>
          <w:highlight w:val="none"/>
          <w:lang w:val="en-US" w:eastAsia="zh-CN"/>
        </w:rPr>
        <w:t xml:space="preserve">                签订日期：   </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 xml:space="preserve">   日</w:t>
      </w:r>
    </w:p>
    <w:p w14:paraId="6987AD25">
      <w:pPr>
        <w:pStyle w:val="19"/>
        <w:rPr>
          <w:rFonts w:hint="eastAsia" w:ascii="仿宋" w:hAnsi="仿宋" w:eastAsia="仿宋" w:cs="仿宋"/>
          <w:lang w:val="en-US" w:eastAsia="zh-CN"/>
        </w:rPr>
      </w:pPr>
    </w:p>
    <w:p w14:paraId="2E5F3716">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设计</w:t>
      </w:r>
      <w:r>
        <w:rPr>
          <w:rFonts w:hint="eastAsia" w:ascii="仿宋" w:hAnsi="仿宋" w:eastAsia="仿宋" w:cs="仿宋"/>
          <w:sz w:val="24"/>
          <w:highlight w:val="none"/>
        </w:rPr>
        <w:t>人</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成员单位</w:t>
      </w:r>
      <w:r>
        <w:rPr>
          <w:rFonts w:hint="eastAsia" w:ascii="仿宋" w:hAnsi="仿宋" w:eastAsia="仿宋" w:cs="仿宋"/>
          <w:sz w:val="24"/>
          <w:highlight w:val="none"/>
          <w:lang w:eastAsia="zh-CN"/>
        </w:rPr>
        <w:t>）</w:t>
      </w:r>
      <w:r>
        <w:rPr>
          <w:rFonts w:hint="eastAsia" w:ascii="仿宋" w:hAnsi="仿宋" w:eastAsia="仿宋" w:cs="仿宋"/>
          <w:sz w:val="24"/>
          <w:highlight w:val="none"/>
        </w:rPr>
        <w:t>：（盖章）</w:t>
      </w:r>
    </w:p>
    <w:p w14:paraId="55410101">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6B280799">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w:t>
      </w:r>
      <w:r>
        <w:rPr>
          <w:rFonts w:hint="eastAsia" w:ascii="仿宋" w:hAnsi="仿宋" w:eastAsia="仿宋" w:cs="仿宋"/>
          <w:sz w:val="24"/>
          <w:highlight w:val="none"/>
          <w:lang w:eastAsia="zh-CN"/>
        </w:rPr>
        <w:t>：</w:t>
      </w:r>
      <w:r>
        <w:rPr>
          <w:rFonts w:hint="eastAsia" w:ascii="仿宋" w:hAnsi="仿宋" w:eastAsia="仿宋" w:cs="仿宋"/>
          <w:sz w:val="24"/>
          <w:highlight w:val="none"/>
        </w:rPr>
        <w:t>（签字）</w:t>
      </w:r>
    </w:p>
    <w:p w14:paraId="5E430944">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013462B6">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授权代理人：（签字）</w:t>
      </w:r>
    </w:p>
    <w:p w14:paraId="2603C550">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p>
    <w:p w14:paraId="4A2833A7">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地址</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 xml:space="preserve">                       </w:t>
      </w:r>
    </w:p>
    <w:p w14:paraId="4F20B85A">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开户银行：</w:t>
      </w:r>
    </w:p>
    <w:p w14:paraId="316F599C">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账号：</w:t>
      </w:r>
    </w:p>
    <w:p w14:paraId="75084D5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电话：</w:t>
      </w:r>
    </w:p>
    <w:p w14:paraId="6BD89FE8">
      <w:pPr>
        <w:keepNext w:val="0"/>
        <w:keepLines w:val="0"/>
        <w:pageBreakBefore w:val="0"/>
        <w:kinsoku/>
        <w:wordWrap/>
        <w:overflowPunct/>
        <w:topLinePunct w:val="0"/>
        <w:autoSpaceDE/>
        <w:autoSpaceDN/>
        <w:bidi w:val="0"/>
        <w:adjustRightInd w:val="0"/>
        <w:snapToGrid/>
        <w:spacing w:beforeAutospacing="0" w:afterAutospacing="0" w:line="360" w:lineRule="auto"/>
        <w:ind w:left="0" w:firstLine="480" w:firstLineChars="200"/>
        <w:contextualSpacing/>
        <w:jc w:val="both"/>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签订日期：   </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 xml:space="preserve">   日</w:t>
      </w:r>
    </w:p>
    <w:p w14:paraId="66CC6C2D">
      <w:pPr>
        <w:keepNext w:val="0"/>
        <w:keepLines w:val="0"/>
        <w:pageBreakBefore w:val="0"/>
        <w:kinsoku/>
        <w:wordWrap/>
        <w:overflowPunct/>
        <w:topLinePunct w:val="0"/>
        <w:autoSpaceDE/>
        <w:autoSpaceDN/>
        <w:bidi w:val="0"/>
        <w:adjustRightInd w:val="0"/>
        <w:snapToGrid/>
        <w:spacing w:beforeAutospacing="0" w:afterAutospacing="0" w:line="360" w:lineRule="auto"/>
        <w:ind w:firstLine="2891" w:firstLineChars="900"/>
        <w:contextualSpacing/>
        <w:jc w:val="both"/>
        <w:textAlignment w:val="auto"/>
        <w:rPr>
          <w:rFonts w:hint="eastAsia" w:ascii="仿宋" w:hAnsi="仿宋" w:eastAsia="仿宋" w:cs="仿宋"/>
          <w:sz w:val="24"/>
          <w:highlight w:val="none"/>
        </w:rPr>
      </w:pPr>
      <w:r>
        <w:rPr>
          <w:rFonts w:hint="eastAsia" w:ascii="仿宋" w:hAnsi="仿宋" w:eastAsia="仿宋" w:cs="仿宋"/>
          <w:b/>
          <w:sz w:val="32"/>
          <w:highlight w:val="none"/>
        </w:rPr>
        <w:t>第二部分  通用合同条款</w:t>
      </w:r>
    </w:p>
    <w:p w14:paraId="6F63E15B">
      <w:pPr>
        <w:keepLines w:val="0"/>
        <w:pageBreakBefore w:val="0"/>
        <w:widowControl w:val="0"/>
        <w:numPr>
          <w:ilvl w:val="0"/>
          <w:numId w:val="1"/>
        </w:numPr>
        <w:kinsoku/>
        <w:wordWrap/>
        <w:overflowPunct/>
        <w:topLinePunct w:val="0"/>
        <w:autoSpaceDE/>
        <w:autoSpaceDN/>
        <w:bidi w:val="0"/>
        <w:adjustRightInd/>
        <w:snapToGrid/>
        <w:spacing w:line="460" w:lineRule="exact"/>
        <w:ind w:left="0" w:leftChars="0"/>
        <w:textAlignment w:val="auto"/>
        <w:outlineLvl w:val="9"/>
        <w:rPr>
          <w:rFonts w:hint="eastAsia" w:ascii="仿宋" w:hAnsi="仿宋" w:eastAsia="仿宋" w:cs="仿宋"/>
          <w:b/>
          <w:bCs/>
          <w:color w:val="000000"/>
          <w:sz w:val="24"/>
          <w:szCs w:val="24"/>
          <w:highlight w:val="none"/>
        </w:rPr>
      </w:pPr>
      <w:bookmarkStart w:id="0" w:name="_Toc27016"/>
      <w:r>
        <w:rPr>
          <w:rFonts w:hint="eastAsia" w:ascii="仿宋" w:hAnsi="仿宋" w:eastAsia="仿宋" w:cs="仿宋"/>
          <w:b/>
          <w:bCs/>
          <w:color w:val="000000"/>
          <w:sz w:val="24"/>
          <w:szCs w:val="24"/>
          <w:highlight w:val="none"/>
        </w:rPr>
        <w:t>一般约定</w:t>
      </w:r>
      <w:bookmarkEnd w:id="0"/>
    </w:p>
    <w:p w14:paraId="6061AE63">
      <w:pPr>
        <w:keepLines w:val="0"/>
        <w:pageBreakBefore w:val="0"/>
        <w:widowControl w:val="0"/>
        <w:kinsoku/>
        <w:wordWrap/>
        <w:overflowPunct/>
        <w:topLinePunct w:val="0"/>
        <w:autoSpaceDE/>
        <w:autoSpaceDN/>
        <w:bidi w:val="0"/>
        <w:adjustRightInd/>
        <w:snapToGrid/>
        <w:spacing w:line="460" w:lineRule="exact"/>
        <w:ind w:left="0" w:leftChars="0" w:firstLine="482" w:firstLineChars="200"/>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1.1</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词语定义</w:t>
      </w:r>
    </w:p>
    <w:p w14:paraId="3096DCE8">
      <w:pPr>
        <w:pStyle w:val="11"/>
        <w:keepLines w:val="0"/>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合同协议书、通用合同条款、专用合同条款中的下列词语具有本款所赋予的含义：</w:t>
      </w:r>
    </w:p>
    <w:p w14:paraId="142EDDA7">
      <w:pPr>
        <w:keepLines w:val="0"/>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合同</w:t>
      </w:r>
    </w:p>
    <w:p w14:paraId="6D2B8D4C">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7A1A9C6F">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1.1.1.2 合同协议书：是指构成合同的由发包人和</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人共同签署的称为“合同协议书 ”的书面文件。</w:t>
      </w:r>
    </w:p>
    <w:p w14:paraId="2F87AAE7">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1.1.1.3 中标通知书：是指构成合同的由发包人通知</w:t>
      </w:r>
      <w:r>
        <w:rPr>
          <w:rFonts w:hint="eastAsia" w:ascii="仿宋" w:hAnsi="仿宋" w:eastAsia="仿宋" w:cs="仿宋"/>
          <w:color w:val="000000"/>
          <w:sz w:val="24"/>
          <w:szCs w:val="24"/>
          <w:highlight w:val="none"/>
          <w:lang w:val="en-US" w:eastAsia="zh-CN"/>
        </w:rPr>
        <w:t>设计人</w:t>
      </w:r>
      <w:r>
        <w:rPr>
          <w:rFonts w:hint="eastAsia" w:ascii="仿宋" w:hAnsi="仿宋" w:eastAsia="仿宋" w:cs="仿宋"/>
          <w:color w:val="000000"/>
          <w:sz w:val="24"/>
          <w:szCs w:val="24"/>
          <w:highlight w:val="none"/>
        </w:rPr>
        <w:t>中标的书面文件。</w:t>
      </w:r>
    </w:p>
    <w:p w14:paraId="07925E2E">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1.1.1.4 投标函：是指构成合同的由</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人填写并签署的用于投标的称为“投标函”的文件。</w:t>
      </w:r>
    </w:p>
    <w:p w14:paraId="12B8F714">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1.1.1.5 投标函附录：是指构成合同的附在投标函后的称为“投标函附录”的文件。</w:t>
      </w:r>
    </w:p>
    <w:p w14:paraId="027F5A96">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1.1.1.6 发包人要求：是指构成合同文件组成部分的，由发包人就工程项目的目的、范围、功能要求及工程设计文件审查的范围和内容等提出相应要求的书面文件，又称设计任务书。</w:t>
      </w:r>
    </w:p>
    <w:p w14:paraId="2475A5A9">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1.1.1.7 技术标准：是指构成合同的设计应当遵守的或指导设计的国家、行业或地方的技术标准和要求，以及合同约定的技术标准和要求。</w:t>
      </w:r>
    </w:p>
    <w:p w14:paraId="623012B4">
      <w:pPr>
        <w:pStyle w:val="11"/>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1.1.1.8 其他合同文件：是指经合同当事人约定的与工程设计有关的具有合同约束力的文件或书面协议。合同当事人可以在专用合同条款中进行约定。</w:t>
      </w:r>
    </w:p>
    <w:p w14:paraId="6ED6FAE0">
      <w:pPr>
        <w:keepLines w:val="0"/>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合同当事人及其他相关方</w:t>
      </w:r>
    </w:p>
    <w:p w14:paraId="1662F5EE">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1.1.2.2 发包人：是指与</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人签订合同协议书的当事人及取得该当事人资格的合法继承人。</w:t>
      </w:r>
    </w:p>
    <w:p w14:paraId="44CB651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1.1.2.3 </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人：是指与发包人签订合同协议书的，具有相应工程资质的当事人及取得该当事人资格的合法继承人。</w:t>
      </w:r>
    </w:p>
    <w:p w14:paraId="74312853">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1.1.2.4 分包人：是指按照法律规定和合同约定，分包部分工程工作，并与</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人签订分包合同的具有相应资质的法人。</w:t>
      </w:r>
    </w:p>
    <w:p w14:paraId="1AC2CECB">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1.1.2.5 发包人代表：是指由发包人指定负责工程设计方面在发包人授权范围内行使发包人权利的人。</w:t>
      </w:r>
    </w:p>
    <w:p w14:paraId="52E0C184">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1.1.2.6 项目负责人：是指由</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人任命负责工程设计，在</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人授权范围内负责合同履行，且按照法律规定具有相应资格的项目主持人。</w:t>
      </w:r>
    </w:p>
    <w:p w14:paraId="0C51A373">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1.1.2.7 联合体：是指两个以上</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人联合，以一个</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人身份为发包人提供工程设计服务的临时性组织</w:t>
      </w:r>
      <w:r>
        <w:rPr>
          <w:rFonts w:hint="eastAsia" w:ascii="仿宋" w:hAnsi="仿宋" w:eastAsia="仿宋" w:cs="仿宋"/>
          <w:color w:val="000000"/>
          <w:sz w:val="24"/>
          <w:szCs w:val="24"/>
          <w:highlight w:val="none"/>
          <w:lang w:eastAsia="zh-CN"/>
        </w:rPr>
        <w:t>。</w:t>
      </w:r>
    </w:p>
    <w:p w14:paraId="1A6929D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1.1.3</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工程</w:t>
      </w:r>
      <w:r>
        <w:rPr>
          <w:rFonts w:hint="eastAsia" w:ascii="仿宋" w:hAnsi="仿宋" w:eastAsia="仿宋" w:cs="仿宋"/>
          <w:color w:val="000000"/>
          <w:sz w:val="24"/>
          <w:szCs w:val="24"/>
          <w:highlight w:val="none"/>
          <w:lang w:val="en-US" w:eastAsia="zh-CN"/>
        </w:rPr>
        <w:t>设计服务、资料与文件</w:t>
      </w:r>
    </w:p>
    <w:p w14:paraId="55CFB27C">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1.1.3.1 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服务：是指</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人按照合同约定履行的服务，包括工程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基本服务、工程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其他服务。</w:t>
      </w:r>
    </w:p>
    <w:p w14:paraId="1521973F">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1.1.3.2 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基本服务：是指</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根据发包人的委托，提供编制专业建设工程初步设计文件（含初步设计概算）、施工图设计文件服务，并相应提供技术交底、解决施工中的技术问题、参加试车（试运行）考核和竣工验收等服务。基本服务费用包含在设计费中。</w:t>
      </w:r>
    </w:p>
    <w:p w14:paraId="757C0E8A">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1.1.3.3 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其他服务：是指发包人根据工程实际需要，要求</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人另行提供且发包人应当单独支付费用的服务，包括总体服务、主体协调服务、采用标准设计和复用设计服务、非标准设备设计文件编制服务、施工图预算编制服务、竣工图编制服务等。</w:t>
      </w:r>
    </w:p>
    <w:p w14:paraId="3AE1CD0F">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1.1.3.4 暂停设计：是指发生</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人不能按照合同约定履行全部或部分义务情形而暂时中断工程设计服务的行为。</w:t>
      </w:r>
    </w:p>
    <w:p w14:paraId="7682D7E4">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1.1.3.5 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资料：是指根据合同约定，发包人向</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人提供的用于完成工程范围与内容所需要的资料。</w:t>
      </w:r>
    </w:p>
    <w:p w14:paraId="1ACBB098">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1.1.3.6 工程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文件：指按照合同约定和技术要求，由</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人向发包人提供的阶段性成果、最终工作成果等，且应当采用合同中双方约定的载体。</w:t>
      </w:r>
    </w:p>
    <w:p w14:paraId="50E45567">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1.1.4</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日期</w:t>
      </w:r>
      <w:r>
        <w:rPr>
          <w:rFonts w:hint="eastAsia" w:ascii="仿宋" w:hAnsi="仿宋" w:eastAsia="仿宋" w:cs="仿宋"/>
          <w:color w:val="000000"/>
          <w:sz w:val="24"/>
          <w:szCs w:val="24"/>
          <w:highlight w:val="none"/>
          <w:lang w:val="en-US" w:eastAsia="zh-CN"/>
        </w:rPr>
        <w:t>和期限</w:t>
      </w:r>
    </w:p>
    <w:p w14:paraId="394CDA0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1.1.4.1 开始</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日期：包括计划开始日期和实际开始日期。计划开始日期是指合同协议书约定的开始日期；实际开始日期是指发包人发出的开始通知中载明的开始日期。</w:t>
      </w:r>
    </w:p>
    <w:p w14:paraId="097DE32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1.1.4.2 完成</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日期：包括计划完成日期和实际完成日期。计划完成日期是指合同协议书约定的完成设计及相关服务的日期；实际完成日期是指</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人交付全部或阶段性成果及提供相关服务日期。</w:t>
      </w:r>
    </w:p>
    <w:p w14:paraId="25BC50B9">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1.1.4.3 设计周期又称设计工期：是指在合同协议书约定的设计人完成工程设计及相关服务所需的期限，包括按照合同约定所作的期限变更。</w:t>
      </w:r>
    </w:p>
    <w:p w14:paraId="6D84DFCC">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1.1.4.4 </w:t>
      </w:r>
      <w:r>
        <w:rPr>
          <w:rFonts w:hint="eastAsia" w:ascii="仿宋" w:hAnsi="仿宋" w:eastAsia="仿宋" w:cs="仿宋"/>
          <w:color w:val="000000"/>
          <w:sz w:val="24"/>
          <w:szCs w:val="24"/>
          <w:highlight w:val="none"/>
        </w:rPr>
        <w:t>基准日期：招标发包的工程设计以投标截止日前 28 天的日期为基准日期，直接发包的工程设计以合同签订日前 28 天的日期为基准日期。</w:t>
      </w:r>
    </w:p>
    <w:p w14:paraId="7EC6A820">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1.1.4.</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 xml:space="preserve"> 天：除特别指明外，均指日历天。合同中按天计算时间的，开始当天不计入，从次日开始计算，期限最后一天的截止时间为当天 24:00 时。</w:t>
      </w:r>
    </w:p>
    <w:p w14:paraId="0F128510">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1.1.5</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合同价格</w:t>
      </w:r>
    </w:p>
    <w:p w14:paraId="0D46F52F">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1.1.5.1 签约合同价：是指发包人和</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人在合同协议书中确定的总金额。</w:t>
      </w:r>
    </w:p>
    <w:p w14:paraId="6096720D">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1.1.5.2 合同价格又称</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费：是指发包人用于支付</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人按照合同约定完成工程范围内全部工作的金额，包括合同履行过程中按合同约定发生的价格变化。</w:t>
      </w:r>
    </w:p>
    <w:p w14:paraId="224A7D1E">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1.1.6</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其他</w:t>
      </w:r>
    </w:p>
    <w:p w14:paraId="0EF0238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1.1.6.1 书面形式：是指合同书、信件和数据电文（包括电报、电传、传真、电子</w:t>
      </w:r>
    </w:p>
    <w:p w14:paraId="3A19B3CB">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数据交换和电子邮件）等可以有形地表现所载内容的形式。</w:t>
      </w:r>
    </w:p>
    <w:p w14:paraId="5C569E1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1.2</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语言文字</w:t>
      </w:r>
    </w:p>
    <w:p w14:paraId="217D432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合同以中国的汉语简体文字编写、解释和说明。合同当事人在专用合同条款中约定使用两种以上语言时，汉语为优先解释和说明合同的语言。</w:t>
      </w:r>
    </w:p>
    <w:p w14:paraId="4D0B5F8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1.3</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法律</w:t>
      </w:r>
    </w:p>
    <w:p w14:paraId="2A1A424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合同所称法律是指中华人民共和国法律、行政法规、部门规章，以及工程所在地的地方性法规、自治条例、单行条例和地方政府规章等。</w:t>
      </w:r>
    </w:p>
    <w:p w14:paraId="7AC5663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合同当事人可以在专用合同条款中约定合同适用的其他规范性文件。</w:t>
      </w:r>
    </w:p>
    <w:p w14:paraId="703EDEA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rPr>
        <w:t>1.4</w:t>
      </w:r>
      <w:r>
        <w:rPr>
          <w:rFonts w:hint="eastAsia" w:ascii="仿宋" w:hAnsi="仿宋" w:eastAsia="仿宋" w:cs="仿宋"/>
          <w:b/>
          <w:bCs/>
          <w:color w:val="000000"/>
          <w:sz w:val="24"/>
          <w:szCs w:val="24"/>
          <w:highlight w:val="none"/>
          <w:lang w:val="en-US" w:eastAsia="zh-CN"/>
        </w:rPr>
        <w:t xml:space="preserve"> 技术标准</w:t>
      </w:r>
    </w:p>
    <w:p w14:paraId="28BD16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 适用于工程的现行有效的国家标准、行业标准、工程所在地的地方性标准，以及相应的规范、规程等，合同当事人有特别要求的，应在专用合同条款中约定。</w:t>
      </w:r>
    </w:p>
    <w:p w14:paraId="03A08E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 发包人要求使用国外技术标准的，发包人与设计人在专用合同条款中约定原文版本和中文译本提供方及提供标准的名称、份数、时间及费用承担等事项。</w:t>
      </w:r>
    </w:p>
    <w:p w14:paraId="722780D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4894D3F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 xml:space="preserve">1.5 </w:t>
      </w:r>
      <w:r>
        <w:rPr>
          <w:rFonts w:hint="eastAsia" w:ascii="仿宋" w:hAnsi="仿宋" w:eastAsia="仿宋" w:cs="仿宋"/>
          <w:b/>
          <w:bCs/>
          <w:color w:val="000000"/>
          <w:sz w:val="24"/>
          <w:szCs w:val="24"/>
          <w:highlight w:val="none"/>
        </w:rPr>
        <w:t>合同文件的优先顺序</w:t>
      </w:r>
    </w:p>
    <w:p w14:paraId="5F81751B">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组成合同的各项文件应互相解释，互为说明。除专用合同条款另有约定外，解释合同文件的优先顺序如下：</w:t>
      </w:r>
    </w:p>
    <w:p w14:paraId="1102704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（1）合同协议书；</w:t>
      </w:r>
    </w:p>
    <w:p w14:paraId="6B316A06">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专用合同条款及其附件；</w:t>
      </w:r>
    </w:p>
    <w:p w14:paraId="576534F3">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通用合同条款；</w:t>
      </w:r>
    </w:p>
    <w:p w14:paraId="4C896835">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其他补充协议、补充合同文件；</w:t>
      </w:r>
    </w:p>
    <w:p w14:paraId="57253DC9">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成交通知书；</w:t>
      </w:r>
    </w:p>
    <w:p w14:paraId="6E67376D">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投标函及其附录（如果有）；</w:t>
      </w:r>
    </w:p>
    <w:p w14:paraId="7F2117A8">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磋商文件，澄清答疑，响应文件及其附件；</w:t>
      </w:r>
    </w:p>
    <w:p w14:paraId="1B753DE0">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发包人要求；</w:t>
      </w:r>
    </w:p>
    <w:p w14:paraId="632E1EC8">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9</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技术标准；</w:t>
      </w:r>
    </w:p>
    <w:p w14:paraId="3ABAF48E">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其他合同文件。</w:t>
      </w:r>
    </w:p>
    <w:p w14:paraId="712A73CD">
      <w:pPr>
        <w:pStyle w:val="11"/>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33F81A2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在合同履行过程中形成的与合同有关的文件均构成合同文件组成部分，并根据其性质确定优先解释顺序。</w:t>
      </w:r>
    </w:p>
    <w:p w14:paraId="55FD27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1.6 联络</w:t>
      </w:r>
    </w:p>
    <w:p w14:paraId="4D300E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 与合同有关的通知、批准、证明、证书、指示、指令、要求、请求、同意、确定和决定等，均应采用书面形式，并应在合同约定的期限内送达接收人和送达地点。</w:t>
      </w:r>
    </w:p>
    <w:p w14:paraId="40A25CB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1.6.2 发包人和</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人应在专用合同条款中约定各自的送达接收人、送达地点、电子邮箱。任何一方合同当事人指定的接收人或送达地点或电子邮箱发生变动的，应提前 3 天以书面形式通知对方，否则视为未发生变动。</w:t>
      </w:r>
    </w:p>
    <w:p w14:paraId="05E0F5C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1.6.3 发包人和</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人应当及时签收另一方送达至送达地点和指定接收人的来往信函，如确有充分证据证明一方无正当理由拒不签收的，视为拒绝签收一方认可往来信函的内容。</w:t>
      </w:r>
    </w:p>
    <w:p w14:paraId="718794B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 严禁贿赂</w:t>
      </w:r>
    </w:p>
    <w:p w14:paraId="4A296A6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合同当事人不得以贿赂或变相贿赂的方式，谋取非法利益或损害对方权益。因一方合同当事人的贿赂造成对方损失的，应赔偿损失，并承担相应的法律责任。</w:t>
      </w:r>
    </w:p>
    <w:p w14:paraId="15E55F0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1.8 保密</w:t>
      </w:r>
    </w:p>
    <w:p w14:paraId="053A839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除法律规定或合同另有约定外，未经发包人同意，</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人不得将发包人提供的图纸、</w:t>
      </w:r>
    </w:p>
    <w:p w14:paraId="69A1EFEF">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文件以及声明需要保密的资料信息等商业秘密泄露给第三方。</w:t>
      </w:r>
    </w:p>
    <w:p w14:paraId="43FA365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除法律规定或合同另有约定外，未经</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人同意，发包人不得将</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人提供的技术文件、技术成果、技术秘密及声明需要保密的资料信息等商业秘密泄露给第三方。</w:t>
      </w:r>
    </w:p>
    <w:p w14:paraId="6DBFE3A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保密期限由发包人与</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人在专用合同条款中约定。</w:t>
      </w:r>
    </w:p>
    <w:p w14:paraId="3E93DEB6">
      <w:pPr>
        <w:pageBreakBefore w:val="0"/>
        <w:widowControl w:val="0"/>
        <w:kinsoku/>
        <w:wordWrap/>
        <w:overflowPunct/>
        <w:topLinePunct w:val="0"/>
        <w:autoSpaceDE/>
        <w:autoSpaceDN/>
        <w:bidi w:val="0"/>
        <w:adjustRightInd/>
        <w:snapToGrid/>
        <w:spacing w:line="460" w:lineRule="exact"/>
        <w:ind w:left="0" w:leftChars="0"/>
        <w:textAlignment w:val="auto"/>
        <w:outlineLvl w:val="9"/>
        <w:rPr>
          <w:rFonts w:hint="eastAsia" w:ascii="仿宋" w:hAnsi="仿宋" w:eastAsia="仿宋" w:cs="仿宋"/>
          <w:b/>
          <w:bCs/>
          <w:color w:val="000000"/>
          <w:sz w:val="24"/>
          <w:szCs w:val="24"/>
          <w:highlight w:val="none"/>
        </w:rPr>
      </w:pPr>
      <w:bookmarkStart w:id="1" w:name="_Toc15715"/>
      <w:r>
        <w:rPr>
          <w:rFonts w:hint="eastAsia" w:ascii="仿宋" w:hAnsi="仿宋" w:eastAsia="仿宋" w:cs="仿宋"/>
          <w:b/>
          <w:bCs/>
          <w:color w:val="000000"/>
          <w:sz w:val="24"/>
          <w:szCs w:val="24"/>
          <w:highlight w:val="none"/>
        </w:rPr>
        <w:t>2. 发包人</w:t>
      </w:r>
      <w:bookmarkEnd w:id="1"/>
    </w:p>
    <w:p w14:paraId="5DDC9AB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2.1 发包人一般义务</w:t>
      </w:r>
    </w:p>
    <w:p w14:paraId="278C6AC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2.1.1 发包人应遵守法律，并办理法律规定由其办理的许可、核准或备案，包括但不限于建设用地规划许可证、建设工程规划许可证等许可、核准或备案。</w:t>
      </w:r>
    </w:p>
    <w:p w14:paraId="3BBCC88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7CE42A3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2.1.2 发包人应当负责工程设计的所有外部关系的协调（包括但不限于当地政府主管部门等），为设计人履行合同提供必要的外部条件。</w:t>
      </w:r>
    </w:p>
    <w:p w14:paraId="3413D84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2.1.3 专用合同条款约定的其他义务。</w:t>
      </w:r>
    </w:p>
    <w:p w14:paraId="59C098AF">
      <w:pPr>
        <w:pageBreakBefore w:val="0"/>
        <w:widowControl w:val="0"/>
        <w:kinsoku/>
        <w:wordWrap/>
        <w:overflowPunct/>
        <w:topLinePunct w:val="0"/>
        <w:autoSpaceDE/>
        <w:autoSpaceDN/>
        <w:bidi w:val="0"/>
        <w:adjustRightInd/>
        <w:snapToGrid/>
        <w:spacing w:line="460" w:lineRule="exact"/>
        <w:ind w:left="0" w:leftChars="0" w:firstLine="482" w:firstLineChars="200"/>
        <w:textAlignment w:val="auto"/>
        <w:outlineLvl w:val="9"/>
        <w:rPr>
          <w:rFonts w:hint="eastAsia" w:ascii="仿宋" w:hAnsi="仿宋" w:eastAsia="仿宋" w:cs="仿宋"/>
          <w:b/>
          <w:bCs/>
          <w:color w:val="000000"/>
          <w:sz w:val="24"/>
          <w:szCs w:val="24"/>
          <w:highlight w:val="none"/>
        </w:rPr>
      </w:pPr>
      <w:bookmarkStart w:id="2" w:name="_Toc32093"/>
      <w:r>
        <w:rPr>
          <w:rFonts w:hint="eastAsia" w:ascii="仿宋" w:hAnsi="仿宋" w:eastAsia="仿宋" w:cs="仿宋"/>
          <w:b/>
          <w:bCs/>
          <w:color w:val="000000"/>
          <w:sz w:val="24"/>
          <w:szCs w:val="24"/>
          <w:highlight w:val="none"/>
          <w:lang w:val="en-US" w:eastAsia="zh-CN"/>
        </w:rPr>
        <w:t>2</w:t>
      </w:r>
      <w:r>
        <w:rPr>
          <w:rFonts w:hint="eastAsia" w:ascii="仿宋" w:hAnsi="仿宋" w:eastAsia="仿宋" w:cs="仿宋"/>
          <w:b/>
          <w:bCs/>
          <w:color w:val="000000"/>
          <w:sz w:val="24"/>
          <w:szCs w:val="24"/>
          <w:highlight w:val="none"/>
        </w:rPr>
        <w:t>.</w:t>
      </w:r>
      <w:r>
        <w:rPr>
          <w:rFonts w:hint="eastAsia" w:ascii="仿宋" w:hAnsi="仿宋" w:eastAsia="仿宋" w:cs="仿宋"/>
          <w:b/>
          <w:bCs/>
          <w:color w:val="000000"/>
          <w:sz w:val="24"/>
          <w:szCs w:val="24"/>
          <w:highlight w:val="none"/>
          <w:lang w:val="en-US" w:eastAsia="zh-CN"/>
        </w:rPr>
        <w:t>2</w:t>
      </w:r>
      <w:bookmarkEnd w:id="2"/>
      <w:r>
        <w:rPr>
          <w:rFonts w:hint="eastAsia" w:ascii="仿宋" w:hAnsi="仿宋" w:eastAsia="仿宋" w:cs="仿宋"/>
          <w:b/>
          <w:bCs/>
          <w:color w:val="000000"/>
          <w:sz w:val="24"/>
          <w:szCs w:val="24"/>
          <w:highlight w:val="none"/>
        </w:rPr>
        <w:t xml:space="preserve"> 发包人代表</w:t>
      </w:r>
    </w:p>
    <w:p w14:paraId="4381ACF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w:t>
      </w:r>
      <w:r>
        <w:rPr>
          <w:rFonts w:hint="eastAsia" w:ascii="仿宋" w:hAnsi="仿宋" w:eastAsia="仿宋" w:cs="仿宋"/>
          <w:color w:val="000000"/>
          <w:sz w:val="24"/>
          <w:szCs w:val="24"/>
          <w:highlight w:val="none"/>
          <w:lang w:val="en-US" w:eastAsia="zh-CN"/>
        </w:rPr>
        <w:t>设计</w:t>
      </w:r>
      <w:r>
        <w:rPr>
          <w:rFonts w:hint="eastAsia" w:ascii="仿宋" w:hAnsi="仿宋" w:eastAsia="仿宋" w:cs="仿宋"/>
          <w:color w:val="000000"/>
          <w:sz w:val="24"/>
          <w:szCs w:val="24"/>
          <w:highlight w:val="none"/>
        </w:rPr>
        <w:t>人。</w:t>
      </w:r>
    </w:p>
    <w:p w14:paraId="766C90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发包人代表不能按照合同约定履行其职责及义务，并导致合同无法继续正常履行的，</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人可以要求发包人撤换发包人代表。</w:t>
      </w:r>
    </w:p>
    <w:p w14:paraId="7F29C1D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2.3 发包人决定</w:t>
      </w:r>
    </w:p>
    <w:p w14:paraId="2C82586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2.3.1 发包人在法律允许的范围内有权对</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人的设计工作、设计项目和/或设计文件作出处理决定，</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人应按照发包人的决定执行，涉及设计周期或设计费用等问题按本合同第 11条〔工程设计变更与索赔〕的约定处理。</w:t>
      </w:r>
    </w:p>
    <w:p w14:paraId="0DDB99E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2.3.2 发包人应在专用合同条款约定的期限内对</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人书面提出的事项作出书面决定，如发包人不在确定时间内作出书面决定，</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人的设计周期相应延长。</w:t>
      </w:r>
    </w:p>
    <w:p w14:paraId="42E6AE9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2.4 </w:t>
      </w:r>
      <w:r>
        <w:rPr>
          <w:rFonts w:hint="eastAsia" w:ascii="仿宋" w:hAnsi="仿宋" w:eastAsia="仿宋" w:cs="仿宋"/>
          <w:color w:val="000000"/>
          <w:sz w:val="24"/>
          <w:szCs w:val="24"/>
          <w:highlight w:val="none"/>
        </w:rPr>
        <w:t>支付合同价款</w:t>
      </w:r>
    </w:p>
    <w:p w14:paraId="5D2FA0E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发包人应按合同约定向</w:t>
      </w:r>
      <w:r>
        <w:rPr>
          <w:rFonts w:hint="eastAsia" w:ascii="仿宋" w:hAnsi="仿宋" w:eastAsia="仿宋" w:cs="仿宋"/>
          <w:color w:val="000000"/>
          <w:sz w:val="24"/>
          <w:szCs w:val="24"/>
          <w:highlight w:val="none"/>
          <w:lang w:eastAsia="zh-CN"/>
        </w:rPr>
        <w:t>设计</w:t>
      </w:r>
      <w:r>
        <w:rPr>
          <w:rFonts w:hint="eastAsia" w:ascii="仿宋" w:hAnsi="仿宋" w:eastAsia="仿宋" w:cs="仿宋"/>
          <w:color w:val="000000"/>
          <w:sz w:val="24"/>
          <w:szCs w:val="24"/>
          <w:highlight w:val="none"/>
        </w:rPr>
        <w:t>人及时足额支付合同价款。</w:t>
      </w:r>
    </w:p>
    <w:p w14:paraId="7A1B9955">
      <w:pPr>
        <w:pageBreakBefore w:val="0"/>
        <w:widowControl w:val="0"/>
        <w:numPr>
          <w:ilvl w:val="0"/>
          <w:numId w:val="0"/>
        </w:numPr>
        <w:kinsoku/>
        <w:wordWrap/>
        <w:overflowPunct/>
        <w:topLinePunct w:val="0"/>
        <w:autoSpaceDE/>
        <w:autoSpaceDN/>
        <w:bidi w:val="0"/>
        <w:adjustRightInd/>
        <w:snapToGrid/>
        <w:spacing w:line="460" w:lineRule="exact"/>
        <w:ind w:leftChars="0"/>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3.设计人</w:t>
      </w:r>
    </w:p>
    <w:p w14:paraId="2EE9C3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 设计人一般义务</w:t>
      </w:r>
    </w:p>
    <w:p w14:paraId="73F0033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3.1.1 设计人应遵守法律和有关技术标准的强制性规定，完成合同约定范围内的专业建设工程初步设计、施工图设计,提供符合技术标准及合同要求的设计成果文件，提供施工配合服务。</w:t>
      </w:r>
    </w:p>
    <w:p w14:paraId="17E392D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3BDAF8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3.1.2 设计人应当完成合同约定的工程设计其他服务。</w:t>
      </w:r>
    </w:p>
    <w:p w14:paraId="023D6A2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3.1.3 专用合同条款约定的其他义务。</w:t>
      </w:r>
    </w:p>
    <w:p w14:paraId="1DD7279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3.2 项目负责人</w:t>
      </w:r>
    </w:p>
    <w:p w14:paraId="50EEC87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1B4AA87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 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77E23A2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 3.2.1 项约定的职责。设计人无正当理由拒绝更换项目负责人的，应按照专用合同条款的约定承担违约责任。</w:t>
      </w:r>
    </w:p>
    <w:p w14:paraId="218DC80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3.3 设计人人员</w:t>
      </w:r>
    </w:p>
    <w:p w14:paraId="35A6C93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3.3.1 除专用合同条款对期限另有约定外，设计人应在接到开始设计通知后 7 天内，向发包人提交设计人项目管理机构及人员安排的报告，其内容应包括工艺、土建、设备等专业负责人名单及其岗位、注册执业资格或职称等。</w:t>
      </w:r>
    </w:p>
    <w:p w14:paraId="6FF857D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3.3.2 设计人委派到工程中的设计人员应相对稳定。设计过程中如有变动，设计人应及时向发包人提交工程设计人员变动情况的报告。设计人更换专业负责人时，应提前 7 天书面通知发包人，除专业负责人无法正常履职情形外，还应征得发包人书面同意。通知中应当载明继任人员的注册执业资格或职称、执业经验等资料。</w:t>
      </w:r>
    </w:p>
    <w:p w14:paraId="6CF1460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2F893E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3.4 设计分包</w:t>
      </w:r>
    </w:p>
    <w:p w14:paraId="41E74F8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3.4.1 设计分包的一般约定</w:t>
      </w:r>
    </w:p>
    <w:p w14:paraId="253959F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不得将其设计的全部工程设计转包给第三人，或将其设计的全部工程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4833DC1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3.4.2 设计分包的确定</w:t>
      </w:r>
    </w:p>
    <w:p w14:paraId="0BF293C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5BFBD20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3.4.3 设计分包管理</w:t>
      </w:r>
    </w:p>
    <w:p w14:paraId="2C01E47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设计人应按照专用合同条款的约定向发包人提交分包人的主要工程设计人员名单、注册执业资格或职称及执业经历等。</w:t>
      </w:r>
    </w:p>
    <w:p w14:paraId="4DF26B9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3.4.4 分包工程设计费</w:t>
      </w:r>
    </w:p>
    <w:p w14:paraId="0DE6D6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（1）除本项第（2）目约定的情况或专用合同条款另有约定外，分包工程设计费由设计人与分包人结算，未经设计人同意，发包人不得向分包人支付分包工程设计费；</w:t>
      </w:r>
    </w:p>
    <w:p w14:paraId="48D71E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（2）生效的法院判决书或仲裁裁决书要求发包人向分包人支付分包工程设计费的，发包人有权从应付设计人合同价款中扣除该部分费用。</w:t>
      </w:r>
    </w:p>
    <w:p w14:paraId="56591E8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3.5 联合体</w:t>
      </w:r>
    </w:p>
    <w:p w14:paraId="219915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3.5.1 联合体各方应共同与发包人签订合同协议书。联合体各方应为履行合同向发包人承担连带责任。</w:t>
      </w:r>
    </w:p>
    <w:p w14:paraId="400D16E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3.5.2 联合体协议，应当约定联合体各成员工作分工，经发包人确认后作为合同附件。在履行合同过程中，未经发包人同意，不得修改联合体协议。</w:t>
      </w:r>
    </w:p>
    <w:p w14:paraId="1B9ECE3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3.5.3 联合体牵头人负责与发包人联系，并接受指示，负责组织联合体各成员全面履行合同。</w:t>
      </w:r>
    </w:p>
    <w:p w14:paraId="4067A35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3.5.4 发包人向联合体支付设计费用的方式在专用合同条款中约定。</w:t>
      </w:r>
    </w:p>
    <w:p w14:paraId="229280A4">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4. 工程设计资料</w:t>
      </w:r>
    </w:p>
    <w:p w14:paraId="6D87A75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4.1 提供工程设计资料</w:t>
      </w:r>
    </w:p>
    <w:p w14:paraId="319B76F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发包人应当在工程设计前或专用合同条款约定的时间向设计人提供工程设计所必需的工程设计资料，并对所提供资料的真实性、准确性和完整性负责。</w:t>
      </w:r>
    </w:p>
    <w:p w14:paraId="6A26F4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按照法律规定确需在工程设计开始后方能提供的设计资料，发包人应及时地在相应工程设计文件提交给发包人前的合理期限内提供，合理期限应以不影响设计人的正常设计为限。</w:t>
      </w:r>
    </w:p>
    <w:p w14:paraId="6D471BB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4.2 逾期提供的责任</w:t>
      </w:r>
    </w:p>
    <w:p w14:paraId="0F2DFD0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发包人提交上述文件和资料超过约定期限的，超过约定期限 15 天以内，设计人按本合同约定的交付工程设计文件时间相应顺延；超过约定期限 15 天以外时，设计人有权重新确定提交工程设计文件的时间。工程设计资料逾期提供导致增加了设计工作量的，设计人可以要求发包人另行支付相应设计费用，并相应延长设计周期。</w:t>
      </w:r>
    </w:p>
    <w:p w14:paraId="75144866">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5. 工程设计要求</w:t>
      </w:r>
    </w:p>
    <w:p w14:paraId="2B1205F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5.1 工程设计一般要求</w:t>
      </w:r>
    </w:p>
    <w:p w14:paraId="3AB65AD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5.1.1 对发包人的要求</w:t>
      </w:r>
    </w:p>
    <w:p w14:paraId="21130B9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590ADC9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 对设计人的要求</w:t>
      </w:r>
    </w:p>
    <w:p w14:paraId="3AEC87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5.1.2.1 设计人应当按法律和技术标准的强制性规定及发包人要求进行工程设计。有关工程设计的特殊标准或要求由合同当事人在专用合同条款中约定。</w:t>
      </w:r>
    </w:p>
    <w:p w14:paraId="2E93CF6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设计人发现发包人提供的工程设计资料有问题的，设计人应当及时通知发包人并经发包人确认。</w:t>
      </w:r>
    </w:p>
    <w:p w14:paraId="4DB9993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5.1.2.2  除合同另有约定外，设计人完成设计工作所应遵守的法律以及技术标准，</w:t>
      </w:r>
    </w:p>
    <w:p w14:paraId="0FADF7D4">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43D201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5.1.2.3 设计人在工程设计中应当采用合同约定的技术、工艺和设备，满足质量、安全、节能、环保等要求。</w:t>
      </w:r>
    </w:p>
    <w:p w14:paraId="55B1902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5.2 工程设计保证措施</w:t>
      </w:r>
    </w:p>
    <w:p w14:paraId="7C8758A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5.2.1 发包人的保证措施</w:t>
      </w:r>
    </w:p>
    <w:p w14:paraId="15BCE5B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发包人应按照法律规定及合同约定完成与工程设计有关的各项工作。</w:t>
      </w:r>
    </w:p>
    <w:p w14:paraId="008DBF7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5.2.2 设计人的保证措施</w:t>
      </w:r>
    </w:p>
    <w:p w14:paraId="3566986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设计人应做好工程设计的质量与技术管理工作，建立健全工程设计质量保证体系，加强工程设计全过程的质量控制，建立完整的设计文件的制定、复核、审核、会签和批准制度，明确各阶段的责任人。</w:t>
      </w:r>
    </w:p>
    <w:p w14:paraId="2D9AAD6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5.3 工程设计文件的要求</w:t>
      </w:r>
    </w:p>
    <w:p w14:paraId="080E7FA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5.3.1 工程设计文件的编制应符合法律、技术标准的强制性规定及合同的要求。</w:t>
      </w:r>
    </w:p>
    <w:p w14:paraId="44AC89E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5.3.2 工程设计依据应完整、准确、可靠，方案论证充分，计算成果可靠，并能够实施。</w:t>
      </w:r>
    </w:p>
    <w:p w14:paraId="3158581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5.3.3 工程设计文件的深度应满足本合同相应设计阶段的规定要求，并符合国家和行业现行有效的相关规定。</w:t>
      </w:r>
    </w:p>
    <w:p w14:paraId="0689AD2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526CC87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5.3.5 应根据法律、技术标准要求，保证专业建设工程的合理使用寿命年限，并应</w:t>
      </w:r>
    </w:p>
    <w:p w14:paraId="7E51E252">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在工程设计文件中注明相应的合理使用寿命年限。</w:t>
      </w:r>
    </w:p>
    <w:p w14:paraId="691A4BF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5.4 不合格工程设计文件的处理</w:t>
      </w:r>
    </w:p>
    <w:p w14:paraId="1AE2D17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5.4.1 因设计人原因造成工程设计文件不合格的，发包人有权要求设计人采取补救措施，直至达到合同要求的质量标准，并按第 14.2 款〔设计人违约责任〕的约定承担责任。</w:t>
      </w:r>
    </w:p>
    <w:p w14:paraId="6ED4979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5.4.2 因发包人原因造成工程设计文件不合格的，设计人应当采取补救措施，直至达到合同要求的质量标准，由此增加的设计费用和（或）设计周期的延长由发包人承担。</w:t>
      </w:r>
    </w:p>
    <w:p w14:paraId="6083A02D">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 工程设计进度与周期</w:t>
      </w:r>
    </w:p>
    <w:p w14:paraId="29E950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6.1 工程设计进度计划</w:t>
      </w:r>
    </w:p>
    <w:p w14:paraId="2248CEB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6.1.1 工程设计进度计划的编制</w:t>
      </w:r>
    </w:p>
    <w:p w14:paraId="29F8407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6F0924C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工程设计进度计划中的周期应由发包人与设计人协商确定，明确约定各阶段设计任务的完成时间区间，包括各阶段设计过程中设计人与发包人的交流时间，但不包括相关政府部门对设计成果的审批时间及发包人的审查时间。</w:t>
      </w:r>
    </w:p>
    <w:p w14:paraId="61B09DA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6.1.2 工程设计进度计划的修订</w:t>
      </w:r>
    </w:p>
    <w:p w14:paraId="183627B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14:paraId="0925C9B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6.2 工程设计开始</w:t>
      </w:r>
    </w:p>
    <w:p w14:paraId="3DA55B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14:paraId="450011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设计人应当在收到发包人提供的工程设计资料及专用合同条款约定的定金或预付款后，开始工程设计工作。</w:t>
      </w:r>
    </w:p>
    <w:p w14:paraId="1EF6546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各设计阶段的开始时间均以设计人收到的发包人发出开始设计工作的书面通知书中载明的开始设计的日期起算。</w:t>
      </w:r>
    </w:p>
    <w:p w14:paraId="4CD32AD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6.3 工程设计进度延误</w:t>
      </w:r>
    </w:p>
    <w:p w14:paraId="2356B0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6.3.1 因发包人原因导致工程设计进度延误</w:t>
      </w:r>
    </w:p>
    <w:p w14:paraId="7A669B3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在合同履行过程中，发包人导致工程设计进度延误的情形主要有：</w:t>
      </w:r>
    </w:p>
    <w:p w14:paraId="142851E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（1）发包人未能按合同约定提供工程设计资料或所提供的工程设计资料不符合合同约定或存在错误或疏漏的；</w:t>
      </w:r>
    </w:p>
    <w:p w14:paraId="5BD4BC8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（2）发包人未能按合同约定日期足额支付定金或预付款、进度款的；</w:t>
      </w:r>
    </w:p>
    <w:p w14:paraId="480F0F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（3）发包人提出影响设计周期的设计变更要求的；</w:t>
      </w:r>
    </w:p>
    <w:p w14:paraId="325CB8F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（4）专用合同条款中约定的其他情形。</w:t>
      </w:r>
    </w:p>
    <w:p w14:paraId="2E5B971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因发包人原因未按计划开始日期开始设计的，发包人应按实际开始日期顺延完成设计日期。</w:t>
      </w:r>
    </w:p>
    <w:p w14:paraId="7BEFCAC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除专用合同条款对期限另有约定外，设计人应在发生上述情况后 5 天内向发包人发出要求延期的书面通知，在发生上述情况后 10 天内提交要求延期的详细说明供发包人审查。除专用合同条款对期限另有约定外，发包人收到设计人要求延期的详细说明后，应在 5 天内进行审查并就是否延长设计周期及延期天数向设计人进行书面答复。</w:t>
      </w:r>
    </w:p>
    <w:p w14:paraId="0291C43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2BEEF41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发包人上述工程设计进度延误情形导致增加了设计工作量的，发包人应当另行支付相应设计费用。</w:t>
      </w:r>
    </w:p>
    <w:p w14:paraId="57C1414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6.3.2 因设计人原因导致工程设计进度延误</w:t>
      </w:r>
    </w:p>
    <w:p w14:paraId="4539D08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因设计人原因导致工程进度延误的，设计人应当按照第 14.2 款〔设计人违约责任〕承担责任。设计人支付逾期完成工程违约金后，不免除设计人继续完成工程设计的义务。</w:t>
      </w:r>
    </w:p>
    <w:p w14:paraId="546351E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6.4 暂停设计</w:t>
      </w:r>
    </w:p>
    <w:p w14:paraId="46A92C7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6.4.1 发包人原因引起的暂停设计</w:t>
      </w:r>
    </w:p>
    <w:p w14:paraId="62FDFD3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因发包人原因引起暂停设计的，发包人应及时下达暂停设计指示。</w:t>
      </w:r>
    </w:p>
    <w:p w14:paraId="17AEA6A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因发包人原因引起的暂停设计，发包人应承担由此增加的设计费用和（或）延长的设计周期。</w:t>
      </w:r>
    </w:p>
    <w:p w14:paraId="4E81124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6.4.2 设计人原因引起的暂停设计</w:t>
      </w:r>
    </w:p>
    <w:p w14:paraId="32DB187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因设计人原因引起的暂停设计，设计人应当尽快向发包人发出书面通知并按第 14.2款〔设计人违约责任〕承担责任，且设计人在收到发包人复工指示后 15 天内仍未复工的，视为设计人无法继续履行合同的情形，设计人应按第 16 条〔合同解除〕的约定承担责任。</w:t>
      </w:r>
    </w:p>
    <w:p w14:paraId="7FD1FFF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6.4.3 其他原因引起的暂停设计</w:t>
      </w:r>
    </w:p>
    <w:p w14:paraId="06EF49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当出现非设计人原因造成的暂停设计，设计人应当尽快向发包人发出书面通知。</w:t>
      </w:r>
    </w:p>
    <w:p w14:paraId="5E6A611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在上述情形下设计人的设计服务暂停，设计人的设计周期应当相应延长，复工应有发包人与设计人共同确认的合理期限。</w:t>
      </w:r>
    </w:p>
    <w:p w14:paraId="6AAEF7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当发生本项约定的情况，导致设计人增加设计工作量的，发包人应当另行支付相应设计费用。</w:t>
      </w:r>
    </w:p>
    <w:p w14:paraId="4F2B5D6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6.4.4 暂停设计后的复工</w:t>
      </w:r>
    </w:p>
    <w:p w14:paraId="33DCE40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暂停设计后，发包人和设计人应采取有效措施积极消除暂停设计的影响。当工程具</w:t>
      </w:r>
    </w:p>
    <w:p w14:paraId="12D65786">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备复工条件时，发包人向</w:t>
      </w:r>
      <w:r>
        <w:rPr>
          <w:rFonts w:hint="eastAsia" w:ascii="仿宋" w:hAnsi="仿宋" w:eastAsia="仿宋" w:cs="仿宋"/>
          <w:color w:val="000000"/>
          <w:kern w:val="2"/>
          <w:sz w:val="24"/>
          <w:szCs w:val="24"/>
          <w:highlight w:val="none"/>
          <w:lang w:val="en-US" w:eastAsia="zh-CN" w:bidi="ar-SA"/>
        </w:rPr>
        <w:t>设计</w:t>
      </w:r>
      <w:r>
        <w:rPr>
          <w:rFonts w:hint="eastAsia" w:ascii="仿宋" w:hAnsi="仿宋" w:eastAsia="仿宋" w:cs="仿宋"/>
          <w:color w:val="000000"/>
          <w:sz w:val="24"/>
          <w:szCs w:val="24"/>
          <w:highlight w:val="none"/>
          <w:lang w:val="en-US" w:eastAsia="zh-CN"/>
        </w:rPr>
        <w:t>人发出复工通知，设计人应按照复工通知要求复工。</w:t>
      </w:r>
    </w:p>
    <w:p w14:paraId="23C60C6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除设计人原因导致暂停设计外，设计人暂停设计后复工所增加的设计工作量，发包人应当另行支付相应设计费用。</w:t>
      </w:r>
    </w:p>
    <w:p w14:paraId="74EAF59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6.5 提前交付工程设计文件</w:t>
      </w:r>
    </w:p>
    <w:p w14:paraId="0BFF1DF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14:paraId="3974B1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6.5.2 发包人要求设计人提前交付工程设计文件，或设计人提出提前交付工程设计文件的建议能够给发包人带来效益的，合同当事人可以在专用合同条款中约定提前交付工程设计文件的奖励。</w:t>
      </w:r>
    </w:p>
    <w:p w14:paraId="3FDFA9B2">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7. 工程设计文件交付</w:t>
      </w:r>
    </w:p>
    <w:p w14:paraId="75FA30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7.1 工程设计文件交付的内容</w:t>
      </w:r>
    </w:p>
    <w:p w14:paraId="2B71230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7.1.1 工程设计图纸及设计说明。</w:t>
      </w:r>
    </w:p>
    <w:p w14:paraId="611545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7.1.2 发包人可以要求设计人提交专用合同条款约定的具体形式的电子版设计成果文件。</w:t>
      </w:r>
    </w:p>
    <w:p w14:paraId="7B5662F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7.2 工程设计文件的交付方式</w:t>
      </w:r>
    </w:p>
    <w:p w14:paraId="5DF4DE9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设计人交付工程设计文件给发包人，发包人应当出具书面签收单，内容包括图纸名称、图纸内容、图纸形式、份数、提交和签收日期、提交人与接收人的亲笔签名。</w:t>
      </w:r>
    </w:p>
    <w:p w14:paraId="69709C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7.3 工程设计文件交付的时间和份数</w:t>
      </w:r>
    </w:p>
    <w:p w14:paraId="2A05E64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工程设计文件交付的名称、时间和份数在专用合同条款中约定。</w:t>
      </w:r>
    </w:p>
    <w:p w14:paraId="2EC91A14">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8. 工程设计文件审查</w:t>
      </w:r>
    </w:p>
    <w:p w14:paraId="2B08F8F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8.1 设计人的工程设计文件应报发包人审查同意。审查的范围和内容在发包人要求中约定。审查的具体标准应符合法律规定、技术标准要求和本合同约定。</w:t>
      </w:r>
    </w:p>
    <w:p w14:paraId="0B89ED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除专用合同条款对期限另有约定外，自发包人收到设计人的工程设计文件以及设计人的通知之日起，发包人对设计人的工程设计文件审查期不超过 15 天。</w:t>
      </w:r>
    </w:p>
    <w:p w14:paraId="638668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发包人不同意工程设计文件的，应以书面形式通知设计人，并说明不符合合同要求的具体内容。设计人应根据发包人的书面说明，对工程设计文件进行修改后重新报送发包人审查，审查期重新起算。</w:t>
      </w:r>
    </w:p>
    <w:p w14:paraId="2780479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合同约定的审查期满，发包人没有做出审查结论也没有提出异议的，视为设计人的工程设计文件已获发包人同意。</w:t>
      </w:r>
    </w:p>
    <w:p w14:paraId="4CF8A6B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8.2 设计人的工程设计文件不需要政府有关部门审查或批准的，设计人应当严格按照经发包人审查同意的工程设计文件进行修改，如果发包人的修改意见超出或更改了发包人要求，发包人应当根据第 11条〔工程设计变更与索赔〕的约定，向设计人另行支付费用。</w:t>
      </w:r>
    </w:p>
    <w:p w14:paraId="72D7788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8.3 工程设计文件需政府有关部门审查或批准的，发包人应在审查同意设计人的工程设计文件后在专用合同条款约定的期限内，向政府有关部门报送工程设计文件，设计人应予以协助。</w:t>
      </w:r>
    </w:p>
    <w:p w14:paraId="64C1C40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 11条〔工程设计变更与索赔〕的约定，向设计人另行支付费用。</w:t>
      </w:r>
    </w:p>
    <w:p w14:paraId="2ECA3DF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CF3582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设计人按第 7 条〔工程设计文件交付〕的约定向发包人提交工程设计文件，有义务</w:t>
      </w:r>
    </w:p>
    <w:p w14:paraId="5B47AC79">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参加发包人组织的审查会议，向审查者介绍、解答、解释其工程设计文件，并提供有关补充资料。</w:t>
      </w:r>
    </w:p>
    <w:p w14:paraId="16E3E77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发包人有义务向设计人提供审查会议的批准文件和纪要。设计人有义务按照相关审查会议批准的文件和纪要，并依据合同约定及相关技术标准，对工程设计文件进行修改、补充和完善。</w:t>
      </w:r>
    </w:p>
    <w:p w14:paraId="456F05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8.5 因设计人原因，未能按第 7 条〔工程设计文件交付〕约定的时间向发包人提交工程设计文件，致使工程设计文件审查无法进行或无法按期进行，造成设计周期延长、窝工损失及发包人增加费用的，设计人按第 14.2 款〔设计人违约责任〕的约定承担责任。</w:t>
      </w:r>
    </w:p>
    <w:p w14:paraId="55CE4E5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因发包人原因，致使工程设计文件审查无法进行或无法按期进行，造成设计周期延长、窝工损失及设计人增加的费用，由发包人承担。</w:t>
      </w:r>
    </w:p>
    <w:p w14:paraId="36FDAF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8.6 因设计人原因造成工程设计文件不合格致使工程设计文件审查无法通过的，发包人有权要求设计人采取补救措施，直至达到合同要求的质量标准，并按第 14.2款〔设计人违约责任〕的约定承担责任。</w:t>
      </w:r>
    </w:p>
    <w:p w14:paraId="3F5D1C9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因发包人原因造成工程设计文件不合格致使工程设计文件审查无法通过的，由此增加的设计费用和（或）延长的设计周期由发包人承担。</w:t>
      </w:r>
    </w:p>
    <w:p w14:paraId="2340602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8.7 工程设计文件的审查，不减轻或免除设计人依据法律应当承担的责任。</w:t>
      </w:r>
    </w:p>
    <w:p w14:paraId="6156C923">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9. 施工现场配合服务</w:t>
      </w:r>
    </w:p>
    <w:p w14:paraId="151DFF2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9.1 除专用合同条款另有约定外，发包人应为设计人派赴现场的工作人员提供工作、生活及交通等方面的便利条件。</w:t>
      </w:r>
    </w:p>
    <w:p w14:paraId="30F4A7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9.2 设计人应当提供设计技术交底、解决施工中技术问题和参加试车（试运行）考核和竣工验收服务。如果发包人在专用合同条款约定的施工现场服务时限外仍要求设计人负责上述工作的，发包人应按所需工作量向设计人另行支付服务费用。</w:t>
      </w:r>
    </w:p>
    <w:p w14:paraId="1DCEF602">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 合同价款与支付</w:t>
      </w:r>
    </w:p>
    <w:p w14:paraId="2840688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10.1 合同价款组成</w:t>
      </w:r>
    </w:p>
    <w:p w14:paraId="78CE858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发包人和设计人应当在专用合同条款中明确约定合同价款各组成部分的具体数额，主要包括：</w:t>
      </w:r>
    </w:p>
    <w:p w14:paraId="39E6463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（1）工程设计基本服务费用；</w:t>
      </w:r>
    </w:p>
    <w:p w14:paraId="6DF4F15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（2）工程设计其他服务费用；</w:t>
      </w:r>
    </w:p>
    <w:p w14:paraId="47A9F7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（3）在未签订合同前发包人已经同意或接受或已经使用的设计人为发包人所做的各项工作的相应费用等。</w:t>
      </w:r>
    </w:p>
    <w:p w14:paraId="1659C4F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10.2 合同价格形式</w:t>
      </w:r>
    </w:p>
    <w:p w14:paraId="52F777A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发包人和设计人应在合同协议书中选择下列一种合同价格形式：</w:t>
      </w:r>
    </w:p>
    <w:p w14:paraId="38D8DC9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（1）单价合同</w:t>
      </w:r>
    </w:p>
    <w:p w14:paraId="0A8D857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649D871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（2）总价合同</w:t>
      </w:r>
    </w:p>
    <w:p w14:paraId="7F8D30C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2549F49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（3）其它价格形式</w:t>
      </w:r>
    </w:p>
    <w:p w14:paraId="57B28E6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合同当事人可在专用合同条款中约定其他合同价格形式。</w:t>
      </w:r>
    </w:p>
    <w:p w14:paraId="76EAF13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10.3 定金或预付款</w:t>
      </w:r>
    </w:p>
    <w:p w14:paraId="1C257A7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10.3.1 定金或预付款的比例</w:t>
      </w:r>
    </w:p>
    <w:p w14:paraId="24CDAF7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定金的比例不应超过合同总价款的20%。预付款的比例由发包人与设计人协商确定，一般不低于合同总价款的10%。</w:t>
      </w:r>
    </w:p>
    <w:p w14:paraId="2AD1359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10.3.2 定金或预付款的支付</w:t>
      </w:r>
    </w:p>
    <w:p w14:paraId="192E19E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定金或预付款的支付按照专用合同条款约定执行，但最迟应在开始设计通知载明的</w:t>
      </w:r>
    </w:p>
    <w:p w14:paraId="311CDB1E">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开始设计日期前专用合同条款约定的期限内支付。</w:t>
      </w:r>
    </w:p>
    <w:p w14:paraId="7FB764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14:paraId="644C773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10.4 进度款支付</w:t>
      </w:r>
    </w:p>
    <w:p w14:paraId="279D8CF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10.4.1 发包人应当按照专用合同条款约定的付款条件及时向设计人支付进度款。</w:t>
      </w:r>
    </w:p>
    <w:p w14:paraId="109C883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10.4.2 进度付款的修正</w:t>
      </w:r>
    </w:p>
    <w:p w14:paraId="63CB845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在对已付进度款进行汇总和复核中发现错误、遗漏或重复的，发包人和设计人均有权提出修正申请。经发包人和设计人同意的修正，应在下期进度付款中支付或扣除。</w:t>
      </w:r>
    </w:p>
    <w:p w14:paraId="7892D3F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10.5 合同价款的结算与支付</w:t>
      </w:r>
    </w:p>
    <w:p w14:paraId="077A9E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10.5.1 对于采取固定总价形式的合同，发包人应当按照专用合同条款的约定及时支付尾款。</w:t>
      </w:r>
    </w:p>
    <w:p w14:paraId="248960E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10.5.2 对于采取固定单价形式的合同，发包人与设计人应当按照专用合同条款约定的结算方式及时结清工程设计费，并将结清未支付的款项一次性支付给设计人。</w:t>
      </w:r>
    </w:p>
    <w:p w14:paraId="0BD1C24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10.5.3 对于采取其他价格形式的，也应按专用合同条款的约定及时结算和支付。</w:t>
      </w:r>
    </w:p>
    <w:p w14:paraId="35B2862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10.6 支付账户</w:t>
      </w:r>
    </w:p>
    <w:p w14:paraId="231DC3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发包人应将合同价款支付至合同协议书中约定的设计人账户。</w:t>
      </w:r>
    </w:p>
    <w:p w14:paraId="61078E38">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11. 工程设计变更与索赔</w:t>
      </w:r>
    </w:p>
    <w:p w14:paraId="38EB17D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11.1 发包人变更工程设计的内容、规模、功能、条件等，应当向设计人提供书面要求，设计人在不违反法律规定以及技术标准强制性规定的前提下应当按照发包人要求变更工程设计。</w:t>
      </w:r>
    </w:p>
    <w:p w14:paraId="51B2BBD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11.2 发包人变更工程设计的内容、规模、功能、条件或因提交的设计资料存在错误</w:t>
      </w:r>
    </w:p>
    <w:p w14:paraId="68DBA29B">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或作较大修改时，发包人应按设计人所耗工作量向设计人增付设计费，设计人可按本条约定和专用合同条款的约定，与发包人协商对合同价格和/或完工时间做可共同接受的修改。</w:t>
      </w:r>
    </w:p>
    <w:p w14:paraId="0A14292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11.3 如果由于发包人要求更改而造成的项目复杂性的变更或性质的变更使得设计人的设计工作减少，发包人可按本条约定和专用合同条款的约定，与设计人协商对合同价格和/或完工时间做可共同接受的修改。</w:t>
      </w:r>
    </w:p>
    <w:p w14:paraId="46FADDA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11.4 基准日期后，与工程设计服务有关的法律、技术标准的强制性规定的颁布及修改，由此增加的设计费用和（或）延长的设计周期由发包人承担。</w:t>
      </w:r>
    </w:p>
    <w:p w14:paraId="69B3B75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11.5 如果发生设计人认为有理由提出增加合同价款或延长设计周期的要求事项，除专用合同条款对期限另有约定外，设计人应于该事项发生后 5 天内书面通知发包人。除专用合同条款对期限另有约定外，在该事项发生后 10 天内，设计人应向发包人提供证明设计人要求的书面声明，其中包括设计人关于因该事项引起的合同价款和设计周期的变化的详细计算。除专用合同条款对期限另有约定外，发包人应在接到设计人书面声明后的 5 天内，予以书面答复。</w:t>
      </w:r>
    </w:p>
    <w:p w14:paraId="72666D01">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12. 专业责任与保险</w:t>
      </w:r>
    </w:p>
    <w:p w14:paraId="1F7CD58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12.1 设计人应运用一切合理的专业技术和经验知识，按照公认的职业标准尽其全部职责和谨慎、勤勉地履行其在本合同项下的责任和义务。</w:t>
      </w:r>
    </w:p>
    <w:p w14:paraId="3D969A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12.2 除专用合同条款另有约定外，设计人应具有发包人认可的、履行本合同所需要的工程设计责任保险并使其于合同责任期内保持有效。</w:t>
      </w:r>
    </w:p>
    <w:p w14:paraId="0FA182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12.3 工程设计责任保险应承担由于设计人的疏忽或过失而引发的工程质量事故所造成的建设工程本身的物质损失以及第三者人身伤亡、财产损失或费用的赔偿责任。不足部分由设计人全部承担。</w:t>
      </w:r>
    </w:p>
    <w:p w14:paraId="69B2492B">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13. 知识产权</w:t>
      </w:r>
    </w:p>
    <w:p w14:paraId="0C1D422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E2564F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400ACBB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7FDCACC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13.4 合同当事人双方均有权在不损害对方利益和保密约定的前提下，在自己宣传用的印刷品或其他出版物上，或申报奖项时等情形下公布有关项目的文字和图片材料。</w:t>
      </w:r>
    </w:p>
    <w:p w14:paraId="369A666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13.5 除专用合同条款另有约定外，设计人在合同签订前和签订时已确定采用的专利、专有技术的使用费应包含在签约合同价中。</w:t>
      </w:r>
    </w:p>
    <w:p w14:paraId="75BAD85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14. 违约责任</w:t>
      </w:r>
    </w:p>
    <w:p w14:paraId="1845F54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14.1 发包人违约责任</w:t>
      </w:r>
    </w:p>
    <w:p w14:paraId="3767CFE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55BCEAC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14.1.2 发包人未按专用合同条款约定的金额和期限向设计人支付设计费的，应按专用合同条款约定向设计人支付违约金。逾期超过 15 天时，设计人有权书面通知发包人中止设计工作。自中止设计工作之日起 15 天内发包人支付相应费用的，设计人应及时根据发包人要求恢复设计工作；自中止设计工作之日起超过 15 天后发包人支付相应费用的，设计人有权确定重新恢复设计工作的时间，且设计周期相应延长。</w:t>
      </w:r>
    </w:p>
    <w:p w14:paraId="1C8E814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14.1.3 发包人的上级或设计审批部门对设计文件不进行审批或本合同工程停建、缓建，发包人应在事件发生之日起 15 天内按本合同第 16 条〔合同解除〕的约定向设计人结算并支付设计费。</w:t>
      </w:r>
    </w:p>
    <w:p w14:paraId="17BB3A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14.1.4 发包人擅自将设计人的设计文件用于本工程以外的工程或交第三方使用时，应承担相应法律责任，并应赔偿设计人因此遭受的损失。</w:t>
      </w:r>
    </w:p>
    <w:p w14:paraId="49E7B3E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14.2 设计人违约责任</w:t>
      </w:r>
    </w:p>
    <w:p w14:paraId="315381F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14.2.1 合同生效后，设计人因自身原因要求终止或解除合同，设计人应按发包人已支付的定金金额双倍返还给发包人或设计人按照专用合同条款的约定向发包人支付违约金。</w:t>
      </w:r>
    </w:p>
    <w:p w14:paraId="65F12BE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14.2.2 由于设计人原因，未按专用合同条款约定的时间交付工程设计文件的，应按专用合同条款的约定向发包人支付违约金，前述违约金经双方确认后可在发包人应付设计费中扣减。</w:t>
      </w:r>
    </w:p>
    <w:p w14:paraId="0D92DF9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1AF3BF6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14.2.4 设计人未经发包人同意擅自对工程设计进行分包的，发包人有权要求设计人解除未经发包人同意的设计分包合同，设计人应当按照专用合同条款的约定承担违约责任。</w:t>
      </w:r>
    </w:p>
    <w:p w14:paraId="0E03141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15. 不可抗力</w:t>
      </w:r>
    </w:p>
    <w:p w14:paraId="58ECE9D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15.1 不可抗力的确认</w:t>
      </w:r>
    </w:p>
    <w:p w14:paraId="7B654CA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不可抗力是指合同当事人在签订合同时不可预见，在合同履行过程中不可避免且不能克服的自然灾害和社会性突发事件，如地震、海啸、瘟疫、骚乱、戒严、暴动、战争和专用合同条款中约定的其他情形。</w:t>
      </w:r>
    </w:p>
    <w:p w14:paraId="1B7A32F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不可抗力发生后，发包人和设计人应收集证明不可抗力发生及不可抗力造成损失的证据，并及时认真统计所造成的损失。合同当事人对是否属于不可抗力或其损失发生争议时，按第 17 条〔争议解决〕的约定处理。</w:t>
      </w:r>
    </w:p>
    <w:p w14:paraId="055BC16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15.2 不可抗力的通知</w:t>
      </w:r>
    </w:p>
    <w:p w14:paraId="7745C2A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合同一方当事人遇到不可抗力事件，使其履行合同义务受到阻碍时，应立即通知合同另一方当事人，书面说明不可抗力和受阻碍的详细情况，并在合理期限内提供必要的证明。</w:t>
      </w:r>
    </w:p>
    <w:p w14:paraId="6C72115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不可抗力持续发生的，合同一方当事人应及时向合同另一方当事人提交中间报告，说明不可抗力和履行合同受阻的情况，并于不可抗力事件结束后 28 天内提交最终报告及有关资料。</w:t>
      </w:r>
    </w:p>
    <w:p w14:paraId="792D61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15.3 不可抗力后果的承担</w:t>
      </w:r>
    </w:p>
    <w:p w14:paraId="3BB36A7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不可抗力引起的后果及造成的损失由合同当事人按照法律规定及合同约定各自承担。不可抗力发生前已完成的工程设计应当按照合同约定进行支付。</w:t>
      </w:r>
    </w:p>
    <w:p w14:paraId="61E46B5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不可抗力发生后，合同当事人均应采取措施尽量避免和减少损失的扩大，任何一方当事人没有采取有效措施导致损失扩大的，应对扩大的损失承担责任。</w:t>
      </w:r>
    </w:p>
    <w:p w14:paraId="4C47BB3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因合同一方迟延履行合同义务，在迟延履行期间遭遇不可抗力的，不免除其违约责任。</w:t>
      </w:r>
    </w:p>
    <w:p w14:paraId="730ED4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16. 合同解除</w:t>
      </w:r>
    </w:p>
    <w:p w14:paraId="25FC0DC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16.1 发包人与设计人协商一致，可以解除合同。</w:t>
      </w:r>
    </w:p>
    <w:p w14:paraId="186ADB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16.2 有下列情形之一的，合同当事人一方或双方可以解除合同：</w:t>
      </w:r>
    </w:p>
    <w:p w14:paraId="278FF01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（1）设计人工程设计文件存在重大质量问题，经发包人催告后，在合理期限内修改后仍不能满足国家现行深度要求或不能达到合同约定的设计质量要求的，发包人可以解除合同；</w:t>
      </w:r>
    </w:p>
    <w:p w14:paraId="3197E58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（2）发包人未按合同约定支付设计费用，经设计人催告后，在 30 天内仍未支付的，设计人可以解除合同；</w:t>
      </w:r>
    </w:p>
    <w:p w14:paraId="38BEB5A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（3）暂停设计期限已连续超过 180 天，专用合同条款另有约定的除外；</w:t>
      </w:r>
    </w:p>
    <w:p w14:paraId="51A76B9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（4）因不可抗力致使合同无法履行；</w:t>
      </w:r>
    </w:p>
    <w:p w14:paraId="2EC8D52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（5）因一方违约致使合同无法实际履行或实际履行已无必要；</w:t>
      </w:r>
    </w:p>
    <w:p w14:paraId="7802542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（6）因本工程项目条件发生重大变化，使合同无法继续履行。</w:t>
      </w:r>
    </w:p>
    <w:p w14:paraId="52D964A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16.3 任何一方因故需解除合同时，应提前 30 天书面通知对方，对合同中的遗留问题应取得一致意见并形成书面协议。</w:t>
      </w:r>
    </w:p>
    <w:p w14:paraId="597B241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16.4 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14:paraId="3D1962B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 争议解决</w:t>
      </w:r>
    </w:p>
    <w:p w14:paraId="29D2490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17.1 和解</w:t>
      </w:r>
    </w:p>
    <w:p w14:paraId="4FC014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合同当事人可以就争议自行和解，自行和解达成协议的经双方签字并盖章后作为合同补充文件，双方均应遵照执行。</w:t>
      </w:r>
    </w:p>
    <w:p w14:paraId="76844C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17.2 调解</w:t>
      </w:r>
    </w:p>
    <w:p w14:paraId="5D855C4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合同当事人可以就争议请求相关行政主管部门、行业协会或其他第三方进行调解，调解达成协议的，经双方签字并盖章后作为合同补充文件，双方均应遵照执行。</w:t>
      </w:r>
    </w:p>
    <w:p w14:paraId="1F7377D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17.3 争议评审</w:t>
      </w:r>
    </w:p>
    <w:p w14:paraId="5276894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合同当事人在专用合同条款中约定采取争议评审方式解决争议以及评审规则，并按下列约定执行：</w:t>
      </w:r>
    </w:p>
    <w:p w14:paraId="6FE4D15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17.3.1 争议评审小组的确定</w:t>
      </w:r>
    </w:p>
    <w:p w14:paraId="3E1A911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合同当事人可以共同选择一名或三名争议评审员，组成争议评审小组。除专用合同条款另有约定外，合同当事人应当自合同签订后 28 天内，或者争议发生后 14 天内，选定争议评审员。</w:t>
      </w:r>
    </w:p>
    <w:p w14:paraId="319ADBB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选择一名争议评审员的，由合同当事人共同确定；选择三名争议评审员的，各自选</w:t>
      </w:r>
    </w:p>
    <w:p w14:paraId="3F6AF061">
      <w:pPr>
        <w:pageBreakBefore w:val="0"/>
        <w:widowControl w:val="0"/>
        <w:kinsoku/>
        <w:wordWrap/>
        <w:overflowPunct/>
        <w:topLinePunct w:val="0"/>
        <w:autoSpaceDE/>
        <w:autoSpaceDN/>
        <w:bidi w:val="0"/>
        <w:adjustRightInd/>
        <w:snapToGrid/>
        <w:spacing w:line="460" w:lineRule="exac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定一名，第三名成员为首席争议评审员，由合同当事人共同确定或由合同当事人委托已选定的争议评审员共同确定，或由专用合同条款约定的评审机构指定第三名首席争议评审员。</w:t>
      </w:r>
    </w:p>
    <w:p w14:paraId="2FCBFE0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除专用合同条款另有约定外，评审所发生的费用由发包人和设计人各承担一半。</w:t>
      </w:r>
    </w:p>
    <w:p w14:paraId="47385D1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17.3.2 争议评审小组的决定</w:t>
      </w:r>
    </w:p>
    <w:p w14:paraId="2F65F0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可在任何时间将与合同有关的任何争议共同提请争议评审小组进行评审。争议评审小组应秉持客观、公正原则，充分听取合同当事人的意见，依据相关法律、技术标准、行业惯例等，自收到争议评审申请报告后 14 天内作出书面决定，并说明理由。合同当事人可以在专用合同条款中对本事项另行约定。</w:t>
      </w:r>
    </w:p>
    <w:p w14:paraId="196AA67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17.3.3 争议评审小组决定的效力</w:t>
      </w:r>
    </w:p>
    <w:p w14:paraId="0F89DD2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争议评审小组作出的书面决定经合同当事人签字确认后，对双方具有约束力，双方应遵照执行。</w:t>
      </w:r>
    </w:p>
    <w:p w14:paraId="4EF1700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任何一方当事人不接受争议评审小组决定或不履行争议评审小组决定的，双方可选择采用其他争议解决方式。</w:t>
      </w:r>
    </w:p>
    <w:p w14:paraId="578B194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17.4 仲裁或诉讼</w:t>
      </w:r>
    </w:p>
    <w:p w14:paraId="5B44FB2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因合同及合同有关事项产生的争议，合同当事人可以在专用合同条款中约定以下一种方式解决争议：</w:t>
      </w:r>
    </w:p>
    <w:p w14:paraId="0BBF05A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（1）向约定的仲裁委员会申请仲裁；</w:t>
      </w:r>
    </w:p>
    <w:p w14:paraId="0FC71A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（2）向有管辖权的人民法院起诉。</w:t>
      </w:r>
    </w:p>
    <w:p w14:paraId="60DFA73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17.5 争议解决条款效力</w:t>
      </w:r>
    </w:p>
    <w:p w14:paraId="6AD1CD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sectPr>
          <w:headerReference r:id="rId3" w:type="default"/>
          <w:footerReference r:id="rId4" w:type="default"/>
          <w:pgSz w:w="12240" w:h="15840"/>
          <w:pgMar w:top="1440" w:right="1440" w:bottom="1440" w:left="1440" w:header="0" w:footer="841" w:gutter="0"/>
          <w:cols w:space="720" w:num="1"/>
        </w:sectPr>
      </w:pPr>
      <w:r>
        <w:rPr>
          <w:rFonts w:hint="eastAsia" w:ascii="仿宋" w:hAnsi="仿宋" w:eastAsia="仿宋" w:cs="仿宋"/>
          <w:color w:val="000000"/>
          <w:sz w:val="24"/>
          <w:szCs w:val="24"/>
          <w:highlight w:val="none"/>
          <w:lang w:val="en-US" w:eastAsia="zh-CN"/>
        </w:rPr>
        <w:t>合同有关争议解决的条款独立存在，合同的变更、解除、终止、无效或者被撤销均不影响其效力。</w:t>
      </w:r>
    </w:p>
    <w:p w14:paraId="51A967CE">
      <w:pPr>
        <w:pageBreakBefore w:val="0"/>
        <w:widowControl w:val="0"/>
        <w:kinsoku/>
        <w:wordWrap/>
        <w:overflowPunct/>
        <w:topLinePunct w:val="0"/>
        <w:bidi w:val="0"/>
        <w:spacing w:before="55" w:line="460" w:lineRule="exact"/>
        <w:ind w:left="419" w:right="238" w:firstLine="643"/>
        <w:jc w:val="center"/>
        <w:textAlignment w:val="auto"/>
        <w:rPr>
          <w:rFonts w:hint="eastAsia" w:ascii="仿宋" w:hAnsi="仿宋" w:eastAsia="仿宋" w:cs="仿宋"/>
          <w:b/>
          <w:sz w:val="32"/>
          <w:highlight w:val="none"/>
        </w:rPr>
      </w:pPr>
      <w:r>
        <w:rPr>
          <w:rFonts w:hint="eastAsia" w:ascii="仿宋" w:hAnsi="仿宋" w:eastAsia="仿宋" w:cs="仿宋"/>
          <w:b/>
          <w:sz w:val="32"/>
          <w:highlight w:val="none"/>
        </w:rPr>
        <w:t>第三部分  专用合同条款</w:t>
      </w:r>
    </w:p>
    <w:p w14:paraId="618DC4A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 一般约定</w:t>
      </w:r>
    </w:p>
    <w:p w14:paraId="571F3BB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 词语定义与解释</w:t>
      </w:r>
    </w:p>
    <w:p w14:paraId="08E0CE1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1.1.1 合同</w:t>
      </w:r>
    </w:p>
    <w:p w14:paraId="4EF2C01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1.1.1.1 其他合同文件包括：</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2E21EC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 法律</w:t>
      </w:r>
    </w:p>
    <w:p w14:paraId="45D1B9A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适用于合同的其他规范性文件：</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790526B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 技术标准</w:t>
      </w:r>
    </w:p>
    <w:p w14:paraId="407ACA6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 适用于工程的技术标准包括：</w:t>
      </w:r>
      <w:r>
        <w:rPr>
          <w:rFonts w:hint="eastAsia" w:ascii="仿宋" w:hAnsi="仿宋" w:eastAsia="仿宋" w:cs="仿宋"/>
          <w:color w:val="000000"/>
          <w:sz w:val="24"/>
          <w:szCs w:val="24"/>
          <w:highlight w:val="none"/>
          <w:u w:val="single"/>
          <w:lang w:val="en-US" w:eastAsia="zh-CN"/>
        </w:rPr>
        <w:t>详见磋商文件第三章磋商项目技术、服务、商务及其他要求</w:t>
      </w:r>
      <w:r>
        <w:rPr>
          <w:rFonts w:hint="eastAsia" w:ascii="仿宋" w:hAnsi="仿宋" w:eastAsia="仿宋" w:cs="仿宋"/>
          <w:color w:val="000000"/>
          <w:sz w:val="24"/>
          <w:szCs w:val="24"/>
          <w:highlight w:val="none"/>
          <w:lang w:val="en-US" w:eastAsia="zh-CN"/>
        </w:rPr>
        <w:t>。</w:t>
      </w:r>
    </w:p>
    <w:p w14:paraId="407B8AC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 国外技术标准原文版本和中文译本的提供方：</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52CE7A7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提供国外技术标准的名称：</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0865D9F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提供国外技术标准的份数：</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6E9134D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提供国外技术标准的时间：</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67AD0F3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提供国外技术标准的费用担：</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071926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1.4.3 发包人对工程的技术标准和功能要求的特殊要求：</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465422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1.5 合同文件的优先顺序</w:t>
      </w:r>
    </w:p>
    <w:p w14:paraId="3CC37FF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合同文件组成及优先顺序为：</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2D2383F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 联络</w:t>
      </w:r>
    </w:p>
    <w:p w14:paraId="7C69385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1.6.1 发包人和设计人应当在 3 天内将与合同有关的通知、批准、证明、证书、指示、指令、要求、请求、同意、确定和决定等书面函件送达对方当事人。</w:t>
      </w:r>
    </w:p>
    <w:p w14:paraId="488EA20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1.6.2 发包人和设计人联系信息</w:t>
      </w:r>
    </w:p>
    <w:p w14:paraId="1A357A1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发包人接收文件的地点：</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257976F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发包人指定的接收人为：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163528B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发包人指定的联系电话及传真号码：</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1924205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发包人指定的电子邮箱：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3ACCAB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设计人接收文件的地点：</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788C26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设计人指定的接收人为：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001F0C3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设计人指定的联系电话及传真号码：</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02C1699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设计人指定的电子邮箱：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76335BE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1.8 保密</w:t>
      </w:r>
    </w:p>
    <w:p w14:paraId="6E7B08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保密期限：</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360D05A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 发包人</w:t>
      </w:r>
    </w:p>
    <w:p w14:paraId="2292B2A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2.1 发包人一般义务</w:t>
      </w:r>
    </w:p>
    <w:p w14:paraId="641ADA2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2.1.1 发包人其它义务：</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2161E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2.2 发包人代表发包人代表</w:t>
      </w:r>
    </w:p>
    <w:p w14:paraId="5DA84CF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姓    名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1BB578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身份证号：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7A2C25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职    务：</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6D16565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7186DE3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电子信箱：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640AEB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通信地址：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1F709E1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发包人对发包人代表的授权范围如下：</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4FF669B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发包人更换发包人代表的，应当提前</w:t>
      </w:r>
      <w:r>
        <w:rPr>
          <w:rFonts w:hint="eastAsia" w:ascii="仿宋" w:hAnsi="仿宋" w:eastAsia="仿宋" w:cs="仿宋"/>
          <w:color w:val="000000"/>
          <w:sz w:val="24"/>
          <w:szCs w:val="24"/>
          <w:highlight w:val="none"/>
          <w:u w:val="single"/>
          <w:lang w:val="en-US" w:eastAsia="zh-CN"/>
        </w:rPr>
        <w:t xml:space="preserve"> 7 </w:t>
      </w:r>
      <w:r>
        <w:rPr>
          <w:rFonts w:hint="eastAsia" w:ascii="仿宋" w:hAnsi="仿宋" w:eastAsia="仿宋" w:cs="仿宋"/>
          <w:color w:val="000000"/>
          <w:sz w:val="24"/>
          <w:szCs w:val="24"/>
          <w:highlight w:val="none"/>
          <w:lang w:val="en-US" w:eastAsia="zh-CN"/>
        </w:rPr>
        <w:t>天书面通知设计人。</w:t>
      </w:r>
    </w:p>
    <w:p w14:paraId="5AA8758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2.3 发包人决定</w:t>
      </w:r>
    </w:p>
    <w:p w14:paraId="66918F9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2.3.2 发包人应在</w:t>
      </w:r>
      <w:r>
        <w:rPr>
          <w:rFonts w:hint="eastAsia" w:ascii="仿宋" w:hAnsi="仿宋" w:eastAsia="仿宋" w:cs="仿宋"/>
          <w:color w:val="000000"/>
          <w:sz w:val="24"/>
          <w:szCs w:val="24"/>
          <w:highlight w:val="none"/>
          <w:u w:val="single"/>
          <w:lang w:val="en-US" w:eastAsia="zh-CN"/>
        </w:rPr>
        <w:t xml:space="preserve"> 5 </w:t>
      </w:r>
      <w:r>
        <w:rPr>
          <w:rFonts w:hint="eastAsia" w:ascii="仿宋" w:hAnsi="仿宋" w:eastAsia="仿宋" w:cs="仿宋"/>
          <w:color w:val="000000"/>
          <w:sz w:val="24"/>
          <w:szCs w:val="24"/>
          <w:highlight w:val="none"/>
          <w:lang w:val="en-US" w:eastAsia="zh-CN"/>
        </w:rPr>
        <w:t>天内对设计人书面提出的事项作出书面决定。</w:t>
      </w:r>
    </w:p>
    <w:p w14:paraId="4F26CAE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 设计人</w:t>
      </w:r>
    </w:p>
    <w:p w14:paraId="1E25956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 设计人一般义务</w:t>
      </w:r>
    </w:p>
    <w:p w14:paraId="6A3EEDD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3.1.1 设计人需需配合发包人办理有关许可、批准或备案手续。</w:t>
      </w:r>
    </w:p>
    <w:p w14:paraId="6885DF7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3.1.3 设计人其他义务：</w:t>
      </w:r>
      <w:r>
        <w:rPr>
          <w:rFonts w:hint="eastAsia" w:ascii="仿宋" w:hAnsi="仿宋" w:eastAsia="仿宋" w:cs="仿宋"/>
          <w:color w:val="000000"/>
          <w:sz w:val="24"/>
          <w:szCs w:val="24"/>
          <w:highlight w:val="none"/>
          <w:u w:val="single"/>
          <w:lang w:val="en-US" w:eastAsia="zh-CN"/>
        </w:rPr>
        <w:t>包括3条道路的初步设计和施工图设计工作以及施工过程等的后续服务配合工作。</w:t>
      </w:r>
    </w:p>
    <w:p w14:paraId="2511AE7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 项目负责人</w:t>
      </w:r>
    </w:p>
    <w:p w14:paraId="1606A34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3.2.1 项目负责人</w:t>
      </w:r>
    </w:p>
    <w:p w14:paraId="544CE43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姓    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1D63B57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执业资格及等级：</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0F985ED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注册证书号：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D8D38E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644F6E1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电子信箱：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028BB5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通信地址：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3A02029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设计人对项目负责人的授权范围如下：</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w:t>
      </w:r>
    </w:p>
    <w:p w14:paraId="5437C2D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3.2.2 设计人更换项目负责人的，应提前</w:t>
      </w:r>
      <w:r>
        <w:rPr>
          <w:rFonts w:hint="eastAsia" w:ascii="仿宋" w:hAnsi="仿宋" w:eastAsia="仿宋" w:cs="仿宋"/>
          <w:color w:val="000000"/>
          <w:sz w:val="24"/>
          <w:szCs w:val="24"/>
          <w:highlight w:val="none"/>
          <w:u w:val="single"/>
          <w:lang w:val="en-US" w:eastAsia="zh-CN"/>
        </w:rPr>
        <w:t xml:space="preserve">  15  </w:t>
      </w:r>
      <w:r>
        <w:rPr>
          <w:rFonts w:hint="eastAsia" w:ascii="仿宋" w:hAnsi="仿宋" w:eastAsia="仿宋" w:cs="仿宋"/>
          <w:color w:val="000000"/>
          <w:sz w:val="24"/>
          <w:szCs w:val="24"/>
          <w:highlight w:val="none"/>
          <w:lang w:val="en-US" w:eastAsia="zh-CN"/>
        </w:rPr>
        <w:t>天书面通知发包人。</w:t>
      </w:r>
    </w:p>
    <w:p w14:paraId="6B14D6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设计人擅自更换项目负责人的违约责任：</w:t>
      </w:r>
      <w:r>
        <w:rPr>
          <w:rFonts w:hint="eastAsia" w:ascii="仿宋" w:hAnsi="仿宋" w:eastAsia="仿宋" w:cs="仿宋"/>
          <w:color w:val="000000"/>
          <w:sz w:val="24"/>
          <w:szCs w:val="24"/>
          <w:highlight w:val="none"/>
          <w:u w:val="single"/>
          <w:lang w:val="en-US" w:eastAsia="zh-CN"/>
        </w:rPr>
        <w:t>设计人不得擅自更换项目负责人，否则视为违约，发包人将按项目负责人 1 万元/人·次的标准向设计人扣罚</w:t>
      </w:r>
      <w:r>
        <w:rPr>
          <w:rFonts w:hint="eastAsia" w:ascii="仿宋" w:hAnsi="仿宋" w:eastAsia="仿宋" w:cs="仿宋"/>
          <w:color w:val="000000"/>
          <w:sz w:val="24"/>
          <w:szCs w:val="24"/>
          <w:highlight w:val="none"/>
          <w:lang w:val="en-US" w:eastAsia="zh-CN"/>
        </w:rPr>
        <w:t>。</w:t>
      </w:r>
    </w:p>
    <w:p w14:paraId="7C3DA3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3.2.3 设计人应在收到书面更换通知后</w:t>
      </w:r>
      <w:r>
        <w:rPr>
          <w:rFonts w:hint="eastAsia" w:ascii="仿宋" w:hAnsi="仿宋" w:eastAsia="仿宋" w:cs="仿宋"/>
          <w:color w:val="000000"/>
          <w:sz w:val="24"/>
          <w:szCs w:val="24"/>
          <w:highlight w:val="none"/>
          <w:u w:val="single"/>
          <w:lang w:val="en-US" w:eastAsia="zh-CN"/>
        </w:rPr>
        <w:t xml:space="preserve">  7  </w:t>
      </w:r>
      <w:r>
        <w:rPr>
          <w:rFonts w:hint="eastAsia" w:ascii="仿宋" w:hAnsi="仿宋" w:eastAsia="仿宋" w:cs="仿宋"/>
          <w:color w:val="000000"/>
          <w:sz w:val="24"/>
          <w:szCs w:val="24"/>
          <w:highlight w:val="none"/>
          <w:lang w:val="en-US" w:eastAsia="zh-CN"/>
        </w:rPr>
        <w:t>天内更换项目负责人。</w:t>
      </w:r>
    </w:p>
    <w:p w14:paraId="0BAD7B9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设计人无正当理由拒绝更换项目负责人的违约责任：</w:t>
      </w:r>
      <w:r>
        <w:rPr>
          <w:rFonts w:hint="eastAsia" w:ascii="仿宋" w:hAnsi="仿宋" w:eastAsia="仿宋" w:cs="仿宋"/>
          <w:color w:val="000000"/>
          <w:sz w:val="24"/>
          <w:szCs w:val="24"/>
          <w:highlight w:val="none"/>
          <w:u w:val="single"/>
          <w:lang w:val="en-US" w:eastAsia="zh-CN"/>
        </w:rPr>
        <w:t>发包人将按 1 万元/人·次的标准向设计人扣罚。</w:t>
      </w:r>
    </w:p>
    <w:p w14:paraId="50F3A2B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3.3 设计人人员</w:t>
      </w:r>
    </w:p>
    <w:p w14:paraId="421C21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3.3.1 设计人提交项目管理机构及人员安排报告的期限：</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2169B70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3.3.2 设计人无正当理由拒绝撤换主要设计人员的违约责任：</w:t>
      </w:r>
      <w:r>
        <w:rPr>
          <w:rFonts w:hint="eastAsia" w:ascii="仿宋" w:hAnsi="仿宋" w:eastAsia="仿宋" w:cs="仿宋"/>
          <w:color w:val="000000"/>
          <w:sz w:val="24"/>
          <w:szCs w:val="24"/>
          <w:highlight w:val="none"/>
          <w:u w:val="single"/>
          <w:lang w:val="en-US" w:eastAsia="zh-CN"/>
        </w:rPr>
        <w:t>设计人人不得擅自更换项目负责人，否则视为违约，发包人将按项目负责人 1 万元/人·次的标准向设计人扣罚。</w:t>
      </w:r>
    </w:p>
    <w:p w14:paraId="0CF4151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 设计分包</w:t>
      </w:r>
    </w:p>
    <w:p w14:paraId="23E646C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3.4.1 设计分包的一般约定</w:t>
      </w:r>
    </w:p>
    <w:p w14:paraId="4443FCA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禁止设计分包的工程包括：</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996CD1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主体结构、关键性工作的范围：</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2BF29C2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3.4.2 设计分包的确定</w:t>
      </w:r>
    </w:p>
    <w:p w14:paraId="69807E2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允许分包的专业工程包括：</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35B971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其他关于分包的约定：</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12EB3F4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3.4.3 设计人向发包人提交有关分包人资料包括：</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1D77DB6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3.4.4 分包工程设计费支付方式：</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863E3A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 工程设计要求</w:t>
      </w:r>
    </w:p>
    <w:p w14:paraId="044E5AC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 工程设计一般要求</w:t>
      </w:r>
    </w:p>
    <w:p w14:paraId="4071E65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5.1.2.1 工程设计的特殊标准或要求：</w:t>
      </w:r>
      <w:r>
        <w:rPr>
          <w:rFonts w:hint="eastAsia" w:ascii="仿宋" w:hAnsi="仿宋" w:eastAsia="仿宋" w:cs="仿宋"/>
          <w:color w:val="000000"/>
          <w:sz w:val="24"/>
          <w:szCs w:val="24"/>
          <w:highlight w:val="none"/>
          <w:u w:val="single"/>
          <w:lang w:val="en-US" w:eastAsia="zh-CN"/>
        </w:rPr>
        <w:t>详见磋商文件第三章磋商项目技术、服务、商务及其他要求</w:t>
      </w:r>
      <w:r>
        <w:rPr>
          <w:rFonts w:hint="eastAsia" w:ascii="仿宋" w:hAnsi="仿宋" w:eastAsia="仿宋" w:cs="仿宋"/>
          <w:color w:val="000000"/>
          <w:sz w:val="24"/>
          <w:szCs w:val="24"/>
          <w:highlight w:val="none"/>
          <w:lang w:val="en-US" w:eastAsia="zh-CN"/>
        </w:rPr>
        <w:t>。</w:t>
      </w:r>
    </w:p>
    <w:p w14:paraId="389E683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5.1.2.2 工程设计适用的技术标准：</w:t>
      </w:r>
      <w:r>
        <w:rPr>
          <w:rFonts w:hint="eastAsia" w:ascii="仿宋" w:hAnsi="仿宋" w:eastAsia="仿宋" w:cs="仿宋"/>
          <w:color w:val="000000"/>
          <w:sz w:val="24"/>
          <w:szCs w:val="24"/>
          <w:highlight w:val="none"/>
          <w:u w:val="single"/>
          <w:lang w:val="en-US" w:eastAsia="zh-CN"/>
        </w:rPr>
        <w:t>详见磋商文件第三章磋商项目技术、服务、商务及其他要求</w:t>
      </w:r>
      <w:r>
        <w:rPr>
          <w:rFonts w:hint="eastAsia" w:ascii="仿宋" w:hAnsi="仿宋" w:eastAsia="仿宋" w:cs="仿宋"/>
          <w:color w:val="000000"/>
          <w:sz w:val="24"/>
          <w:szCs w:val="24"/>
          <w:highlight w:val="none"/>
          <w:lang w:val="en-US" w:eastAsia="zh-CN"/>
        </w:rPr>
        <w:t>。</w:t>
      </w:r>
    </w:p>
    <w:p w14:paraId="50B871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 工程设计文件的要求</w:t>
      </w:r>
    </w:p>
    <w:p w14:paraId="36B9D61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5.3.1 工程设计文件深度规定：</w:t>
      </w:r>
      <w:r>
        <w:rPr>
          <w:rFonts w:hint="eastAsia" w:ascii="仿宋" w:hAnsi="仿宋" w:eastAsia="仿宋" w:cs="仿宋"/>
          <w:color w:val="000000"/>
          <w:sz w:val="24"/>
          <w:szCs w:val="24"/>
          <w:highlight w:val="none"/>
          <w:u w:val="single"/>
          <w:lang w:val="en-US" w:eastAsia="zh-CN"/>
        </w:rPr>
        <w:t>按照国家关于设计深度规定的各阶段设计深度要求</w:t>
      </w:r>
      <w:r>
        <w:rPr>
          <w:rFonts w:hint="eastAsia" w:ascii="仿宋" w:hAnsi="仿宋" w:eastAsia="仿宋" w:cs="仿宋"/>
          <w:color w:val="000000"/>
          <w:sz w:val="24"/>
          <w:szCs w:val="24"/>
          <w:highlight w:val="none"/>
          <w:lang w:val="en-US" w:eastAsia="zh-CN"/>
        </w:rPr>
        <w:t>。</w:t>
      </w:r>
    </w:p>
    <w:p w14:paraId="6F9B7B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 工程设计进度与周期</w:t>
      </w:r>
    </w:p>
    <w:p w14:paraId="3D42DF6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6.1 工程设计进度计划</w:t>
      </w:r>
    </w:p>
    <w:p w14:paraId="7C9856E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6.1.1 工程设计进度计划的编制</w:t>
      </w:r>
    </w:p>
    <w:p w14:paraId="79709F8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合同当事人约定的工程设计进度计划提交的时间、内容：</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4476"/>
        <w:gridCol w:w="3739"/>
      </w:tblGrid>
      <w:tr w14:paraId="2ED1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47" w:type="dxa"/>
            <w:noWrap w:val="0"/>
            <w:vAlign w:val="center"/>
          </w:tcPr>
          <w:p w14:paraId="390DC58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序号</w:t>
            </w:r>
          </w:p>
        </w:tc>
        <w:tc>
          <w:tcPr>
            <w:tcW w:w="4476" w:type="dxa"/>
            <w:noWrap w:val="0"/>
            <w:vAlign w:val="center"/>
          </w:tcPr>
          <w:p w14:paraId="771190A8">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资料及文件名称</w:t>
            </w:r>
          </w:p>
        </w:tc>
        <w:tc>
          <w:tcPr>
            <w:tcW w:w="3739" w:type="dxa"/>
            <w:noWrap w:val="0"/>
            <w:vAlign w:val="center"/>
          </w:tcPr>
          <w:p w14:paraId="335BC6BF">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提交日期</w:t>
            </w:r>
          </w:p>
        </w:tc>
      </w:tr>
      <w:tr w14:paraId="2375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27DDC57B">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4476" w:type="dxa"/>
            <w:noWrap w:val="0"/>
            <w:vAlign w:val="center"/>
          </w:tcPr>
          <w:p w14:paraId="50F402F8">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提供最终初步设计文件6套、设计概算书2份及光盘2份（所有成果电子版文字为doc格式，图纸为AutoCAD2004的DWG和PDF格式，效果图为JPG格式）。</w:t>
            </w:r>
          </w:p>
          <w:p w14:paraId="5CDD666B">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3739" w:type="dxa"/>
            <w:noWrap w:val="0"/>
            <w:vAlign w:val="center"/>
          </w:tcPr>
          <w:p w14:paraId="5187E36A">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15个日历天内完成初步设计及报审工作</w:t>
            </w:r>
          </w:p>
          <w:p w14:paraId="161FE195">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10个日历天内日完成施工图设计</w:t>
            </w:r>
          </w:p>
          <w:p w14:paraId="1BF28DBD">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r>
    </w:tbl>
    <w:p w14:paraId="4BAFCB4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6.1.2 工程设计进度计划的修订</w:t>
      </w:r>
    </w:p>
    <w:p w14:paraId="1487448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发包人在收到工程设计进度计划后确认或提出修改意见的期限：</w:t>
      </w:r>
      <w:r>
        <w:rPr>
          <w:rFonts w:hint="eastAsia" w:ascii="仿宋" w:hAnsi="仿宋" w:eastAsia="仿宋" w:cs="仿宋"/>
          <w:color w:val="000000"/>
          <w:sz w:val="24"/>
          <w:szCs w:val="24"/>
          <w:highlight w:val="none"/>
          <w:u w:val="single"/>
          <w:lang w:val="en-US" w:eastAsia="zh-CN"/>
        </w:rPr>
        <w:t xml:space="preserve"> 5 个工作日内</w:t>
      </w:r>
      <w:r>
        <w:rPr>
          <w:rFonts w:hint="eastAsia" w:ascii="仿宋" w:hAnsi="仿宋" w:eastAsia="仿宋" w:cs="仿宋"/>
          <w:color w:val="000000"/>
          <w:sz w:val="24"/>
          <w:szCs w:val="24"/>
          <w:highlight w:val="none"/>
          <w:lang w:val="en-US" w:eastAsia="zh-CN"/>
        </w:rPr>
        <w:t>。</w:t>
      </w:r>
    </w:p>
    <w:p w14:paraId="72CB0F4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6.3 工程设计进度延误</w:t>
      </w:r>
    </w:p>
    <w:p w14:paraId="48FA32E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6.3.1 因发包人原因导致工程设计进度延误</w:t>
      </w:r>
    </w:p>
    <w:p w14:paraId="7367AE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（4）因发包人原因导致工程设计进度延误的其他情形：</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232A256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设计人应在发生进度延误的情形后</w:t>
      </w:r>
      <w:r>
        <w:rPr>
          <w:rFonts w:hint="eastAsia" w:ascii="仿宋" w:hAnsi="仿宋" w:eastAsia="仿宋" w:cs="仿宋"/>
          <w:color w:val="000000"/>
          <w:sz w:val="24"/>
          <w:szCs w:val="24"/>
          <w:highlight w:val="none"/>
          <w:u w:val="single"/>
          <w:lang w:val="en-US" w:eastAsia="zh-CN"/>
        </w:rPr>
        <w:t xml:space="preserve"> 5 </w:t>
      </w:r>
      <w:r>
        <w:rPr>
          <w:rFonts w:hint="eastAsia" w:ascii="仿宋" w:hAnsi="仿宋" w:eastAsia="仿宋" w:cs="仿宋"/>
          <w:color w:val="000000"/>
          <w:sz w:val="24"/>
          <w:szCs w:val="24"/>
          <w:highlight w:val="none"/>
          <w:lang w:val="en-US" w:eastAsia="zh-CN"/>
        </w:rPr>
        <w:t>天内向发包人发出要求延期的书面通知，在发生该情形后</w:t>
      </w:r>
      <w:r>
        <w:rPr>
          <w:rFonts w:hint="eastAsia" w:ascii="仿宋" w:hAnsi="仿宋" w:eastAsia="仿宋" w:cs="仿宋"/>
          <w:color w:val="000000"/>
          <w:sz w:val="24"/>
          <w:szCs w:val="24"/>
          <w:highlight w:val="none"/>
          <w:u w:val="single"/>
          <w:lang w:val="en-US" w:eastAsia="zh-CN"/>
        </w:rPr>
        <w:t xml:space="preserve"> 10 </w:t>
      </w:r>
      <w:r>
        <w:rPr>
          <w:rFonts w:hint="eastAsia" w:ascii="仿宋" w:hAnsi="仿宋" w:eastAsia="仿宋" w:cs="仿宋"/>
          <w:color w:val="000000"/>
          <w:sz w:val="24"/>
          <w:szCs w:val="24"/>
          <w:highlight w:val="none"/>
          <w:lang w:val="en-US" w:eastAsia="zh-CN"/>
        </w:rPr>
        <w:t>天内提交要求延期的详细说明。</w:t>
      </w:r>
    </w:p>
    <w:p w14:paraId="0F5B493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发包人收到设计人要求延期的详细说明后，应在</w:t>
      </w:r>
      <w:r>
        <w:rPr>
          <w:rFonts w:hint="eastAsia" w:ascii="仿宋" w:hAnsi="仿宋" w:eastAsia="仿宋" w:cs="仿宋"/>
          <w:color w:val="000000"/>
          <w:sz w:val="24"/>
          <w:szCs w:val="24"/>
          <w:highlight w:val="none"/>
          <w:u w:val="single"/>
          <w:lang w:val="en-US" w:eastAsia="zh-CN"/>
        </w:rPr>
        <w:t xml:space="preserve"> 5 </w:t>
      </w:r>
      <w:r>
        <w:rPr>
          <w:rFonts w:hint="eastAsia" w:ascii="仿宋" w:hAnsi="仿宋" w:eastAsia="仿宋" w:cs="仿宋"/>
          <w:color w:val="000000"/>
          <w:sz w:val="24"/>
          <w:szCs w:val="24"/>
          <w:highlight w:val="none"/>
          <w:lang w:val="en-US" w:eastAsia="zh-CN"/>
        </w:rPr>
        <w:t>天内进行审查并书面答复。</w:t>
      </w:r>
    </w:p>
    <w:p w14:paraId="3B7A22A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6.5 提前交付工程设计文件</w:t>
      </w:r>
    </w:p>
    <w:p w14:paraId="351984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6.5.1 提前交付工程设计文件的奖励：</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7E3D31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7． 工程设计文件交付</w:t>
      </w:r>
    </w:p>
    <w:p w14:paraId="042FE3D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7.1 工程设计文件交付的内容</w:t>
      </w:r>
    </w:p>
    <w:p w14:paraId="567C2F9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lang w:val="en-US" w:eastAsia="zh-CN"/>
        </w:rPr>
        <w:t>7.1.1 发包人要求设计人提交电子版设计文件的具体形式为：</w:t>
      </w:r>
      <w:r>
        <w:rPr>
          <w:rFonts w:hint="eastAsia" w:ascii="仿宋" w:hAnsi="仿宋" w:eastAsia="仿宋" w:cs="仿宋"/>
          <w:color w:val="000000"/>
          <w:sz w:val="24"/>
          <w:szCs w:val="24"/>
          <w:highlight w:val="none"/>
          <w:u w:val="single"/>
          <w:lang w:val="en-US" w:eastAsia="zh-CN"/>
        </w:rPr>
        <w:t xml:space="preserve">  光盘  </w:t>
      </w:r>
      <w:r>
        <w:rPr>
          <w:rFonts w:hint="eastAsia" w:ascii="仿宋" w:hAnsi="仿宋" w:eastAsia="仿宋" w:cs="仿宋"/>
          <w:color w:val="000000"/>
          <w:sz w:val="24"/>
          <w:szCs w:val="24"/>
          <w:highlight w:val="none"/>
          <w:u w:val="none"/>
          <w:lang w:val="en-US" w:eastAsia="zh-CN"/>
        </w:rPr>
        <w:t>。</w:t>
      </w:r>
    </w:p>
    <w:p w14:paraId="58DDF22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 工程设计文件审查</w:t>
      </w:r>
    </w:p>
    <w:p w14:paraId="77F0C5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8.1 设计人应积极配合施工图审查并及时按审查意见修改施工图。</w:t>
      </w:r>
    </w:p>
    <w:p w14:paraId="7CA3734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9. 施工现场配合服务</w:t>
      </w:r>
    </w:p>
    <w:p w14:paraId="1E3AF11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9.1 发包人为设计人派赴现场的工作人员提供便利条件的内容包括：</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4A68B8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9.2 设计人应当在交付施工图设计文件并经审查合格后提供施工现场配合服务。</w:t>
      </w:r>
    </w:p>
    <w:p w14:paraId="6398315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 合同价款与支付</w:t>
      </w:r>
    </w:p>
    <w:p w14:paraId="6115B06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10.2 合同价格形式</w:t>
      </w:r>
    </w:p>
    <w:p w14:paraId="19AC2F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总价合同</w:t>
      </w:r>
    </w:p>
    <w:p w14:paraId="2C2904F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总价包含的风险范围：</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417E652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10.3 定金或预付款</w:t>
      </w:r>
    </w:p>
    <w:p w14:paraId="7767A1D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本项目无定金或预付款。</w:t>
      </w:r>
    </w:p>
    <w:p w14:paraId="178DDDA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10.4 进度款支付</w:t>
      </w:r>
    </w:p>
    <w:p w14:paraId="2AFBA85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（1）设计人完成初步设计工作及提交施工图的全部设计文件并经审查合格并开具正规发票及提供相关付款手续后，达到付款条件起15日内，支付合同总金额的80%；</w:t>
      </w:r>
    </w:p>
    <w:p w14:paraId="04039CB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（2）工程竣工验收后，达到付款条件起15日内，支付合同总金额的20%。（实际支付根据财政拨款进度最终确定）</w:t>
      </w:r>
    </w:p>
    <w:p w14:paraId="72B8639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 工程设计变更与索赔</w:t>
      </w:r>
    </w:p>
    <w:p w14:paraId="03B752E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11.1 设计人应于认为有理由提出增加合同价款或延长设计周期的要求事项发生后</w:t>
      </w:r>
      <w:r>
        <w:rPr>
          <w:rFonts w:hint="eastAsia" w:ascii="仿宋" w:hAnsi="仿宋" w:eastAsia="仿宋" w:cs="仿宋"/>
          <w:color w:val="000000"/>
          <w:sz w:val="24"/>
          <w:szCs w:val="24"/>
          <w:highlight w:val="none"/>
          <w:u w:val="single"/>
          <w:lang w:val="en-US" w:eastAsia="zh-CN"/>
        </w:rPr>
        <w:t xml:space="preserve">5 </w:t>
      </w:r>
      <w:r>
        <w:rPr>
          <w:rFonts w:hint="eastAsia" w:ascii="仿宋" w:hAnsi="仿宋" w:eastAsia="仿宋" w:cs="仿宋"/>
          <w:color w:val="000000"/>
          <w:sz w:val="24"/>
          <w:szCs w:val="24"/>
          <w:highlight w:val="none"/>
          <w:lang w:val="en-US" w:eastAsia="zh-CN"/>
        </w:rPr>
        <w:t>天内书面通知发包人。</w:t>
      </w:r>
    </w:p>
    <w:p w14:paraId="5FB9361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设计人应在该事项发生后</w:t>
      </w:r>
      <w:r>
        <w:rPr>
          <w:rFonts w:hint="eastAsia" w:ascii="仿宋" w:hAnsi="仿宋" w:eastAsia="仿宋" w:cs="仿宋"/>
          <w:color w:val="000000"/>
          <w:sz w:val="24"/>
          <w:szCs w:val="24"/>
          <w:highlight w:val="none"/>
          <w:u w:val="single"/>
          <w:lang w:val="en-US" w:eastAsia="zh-CN"/>
        </w:rPr>
        <w:t xml:space="preserve"> 10 </w:t>
      </w:r>
      <w:r>
        <w:rPr>
          <w:rFonts w:hint="eastAsia" w:ascii="仿宋" w:hAnsi="仿宋" w:eastAsia="仿宋" w:cs="仿宋"/>
          <w:color w:val="000000"/>
          <w:sz w:val="24"/>
          <w:szCs w:val="24"/>
          <w:highlight w:val="none"/>
          <w:lang w:val="en-US" w:eastAsia="zh-CN"/>
        </w:rPr>
        <w:t>天内向发包人提供证明设计人要求的书面声明。</w:t>
      </w:r>
    </w:p>
    <w:p w14:paraId="479E437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发包人应在接到设计人书面声明后的</w:t>
      </w:r>
      <w:r>
        <w:rPr>
          <w:rFonts w:hint="eastAsia" w:ascii="仿宋" w:hAnsi="仿宋" w:eastAsia="仿宋" w:cs="仿宋"/>
          <w:color w:val="000000"/>
          <w:sz w:val="24"/>
          <w:szCs w:val="24"/>
          <w:highlight w:val="none"/>
          <w:u w:val="single"/>
          <w:lang w:val="en-US" w:eastAsia="zh-CN"/>
        </w:rPr>
        <w:t xml:space="preserve"> 5 </w:t>
      </w:r>
      <w:r>
        <w:rPr>
          <w:rFonts w:hint="eastAsia" w:ascii="仿宋" w:hAnsi="仿宋" w:eastAsia="仿宋" w:cs="仿宋"/>
          <w:color w:val="000000"/>
          <w:sz w:val="24"/>
          <w:szCs w:val="24"/>
          <w:highlight w:val="none"/>
          <w:lang w:val="en-US" w:eastAsia="zh-CN"/>
        </w:rPr>
        <w:t>天内，予以书面答复。</w:t>
      </w:r>
    </w:p>
    <w:p w14:paraId="60683E2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12. 专业责任与保险</w:t>
      </w:r>
    </w:p>
    <w:p w14:paraId="10FC9A3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12.1 设计人需要有发包人认可的工程设计责任保险。</w:t>
      </w:r>
    </w:p>
    <w:p w14:paraId="4B3A8C9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 知识产权</w:t>
      </w:r>
    </w:p>
    <w:p w14:paraId="4590D7B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13.1 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000000"/>
          <w:sz w:val="24"/>
          <w:szCs w:val="24"/>
          <w:highlight w:val="none"/>
          <w:u w:val="single"/>
          <w:lang w:val="en-US" w:eastAsia="zh-CN"/>
        </w:rPr>
        <w:t>发包人</w:t>
      </w:r>
      <w:r>
        <w:rPr>
          <w:rFonts w:hint="eastAsia" w:ascii="仿宋" w:hAnsi="仿宋" w:eastAsia="仿宋" w:cs="仿宋"/>
          <w:color w:val="000000"/>
          <w:sz w:val="24"/>
          <w:szCs w:val="24"/>
          <w:highlight w:val="none"/>
          <w:lang w:val="en-US" w:eastAsia="zh-CN"/>
        </w:rPr>
        <w:t>。</w:t>
      </w:r>
    </w:p>
    <w:p w14:paraId="4383D4C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关于发包人提供的上述文件的使用限制的要求</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7442167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13.2 关于设计人为实施工程所编制文件的著作权的归属</w:t>
      </w:r>
      <w:r>
        <w:rPr>
          <w:rFonts w:hint="eastAsia" w:ascii="仿宋" w:hAnsi="仿宋" w:eastAsia="仿宋" w:cs="仿宋"/>
          <w:color w:val="000000"/>
          <w:sz w:val="24"/>
          <w:szCs w:val="24"/>
          <w:highlight w:val="none"/>
          <w:u w:val="single"/>
          <w:lang w:val="en-US" w:eastAsia="zh-CN"/>
        </w:rPr>
        <w:t xml:space="preserve"> 设计人</w:t>
      </w:r>
      <w:r>
        <w:rPr>
          <w:rFonts w:hint="eastAsia" w:ascii="仿宋" w:hAnsi="仿宋" w:eastAsia="仿宋" w:cs="仿宋"/>
          <w:color w:val="000000"/>
          <w:sz w:val="24"/>
          <w:szCs w:val="24"/>
          <w:highlight w:val="none"/>
          <w:lang w:val="en-US" w:eastAsia="zh-CN"/>
        </w:rPr>
        <w:t xml:space="preserve"> 。关于设计人提供的上述文件的使用限制的要求：</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32C65B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13.3 设计人在设计过程中所采用的专利、专有技术的使用费的承担方式</w:t>
      </w:r>
      <w:r>
        <w:rPr>
          <w:rFonts w:hint="eastAsia" w:ascii="仿宋" w:hAnsi="仿宋" w:eastAsia="仿宋" w:cs="仿宋"/>
          <w:color w:val="000000"/>
          <w:sz w:val="24"/>
          <w:szCs w:val="24"/>
          <w:highlight w:val="none"/>
          <w:u w:val="none"/>
          <w:lang w:val="en-US" w:eastAsia="zh-CN"/>
        </w:rPr>
        <w:t>：</w:t>
      </w:r>
      <w:r>
        <w:rPr>
          <w:rFonts w:hint="eastAsia" w:ascii="仿宋" w:hAnsi="仿宋" w:eastAsia="仿宋" w:cs="仿宋"/>
          <w:color w:val="000000"/>
          <w:sz w:val="24"/>
          <w:szCs w:val="24"/>
          <w:highlight w:val="none"/>
          <w:u w:val="single"/>
          <w:lang w:val="en-US" w:eastAsia="zh-CN"/>
        </w:rPr>
        <w:t xml:space="preserve"> 设计人承担 </w:t>
      </w:r>
      <w:r>
        <w:rPr>
          <w:rFonts w:hint="eastAsia" w:ascii="仿宋" w:hAnsi="仿宋" w:eastAsia="仿宋" w:cs="仿宋"/>
          <w:color w:val="000000"/>
          <w:sz w:val="24"/>
          <w:szCs w:val="24"/>
          <w:highlight w:val="none"/>
          <w:lang w:val="en-US" w:eastAsia="zh-CN"/>
        </w:rPr>
        <w:t>。</w:t>
      </w:r>
    </w:p>
    <w:p w14:paraId="134CA21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 违约责任</w:t>
      </w:r>
    </w:p>
    <w:p w14:paraId="75560E2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 发包人违约责任</w:t>
      </w:r>
    </w:p>
    <w:p w14:paraId="18BA7C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14.1.1 发包人支付设计人违约金：</w:t>
      </w:r>
      <w:r>
        <w:rPr>
          <w:rFonts w:hint="eastAsia" w:ascii="仿宋" w:hAnsi="仿宋" w:eastAsia="仿宋" w:cs="仿宋"/>
          <w:color w:val="000000"/>
          <w:sz w:val="24"/>
          <w:szCs w:val="24"/>
          <w:highlight w:val="none"/>
          <w:u w:val="single"/>
          <w:lang w:val="en-US" w:eastAsia="zh-CN"/>
        </w:rPr>
        <w:t>同通用条款</w:t>
      </w:r>
      <w:r>
        <w:rPr>
          <w:rFonts w:hint="eastAsia" w:ascii="仿宋" w:hAnsi="仿宋" w:eastAsia="仿宋" w:cs="仿宋"/>
          <w:color w:val="000000"/>
          <w:sz w:val="24"/>
          <w:szCs w:val="24"/>
          <w:highlight w:val="none"/>
          <w:lang w:val="en-US" w:eastAsia="zh-CN"/>
        </w:rPr>
        <w:t>。</w:t>
      </w:r>
    </w:p>
    <w:p w14:paraId="3CDA9B0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14.1.2 发包人逾期支付设计费的违约金：</w:t>
      </w:r>
      <w:r>
        <w:rPr>
          <w:rFonts w:hint="eastAsia" w:ascii="仿宋" w:hAnsi="仿宋" w:eastAsia="仿宋" w:cs="仿宋"/>
          <w:color w:val="000000"/>
          <w:sz w:val="24"/>
          <w:szCs w:val="24"/>
          <w:highlight w:val="none"/>
          <w:u w:val="single"/>
          <w:lang w:val="en-US" w:eastAsia="zh-CN"/>
        </w:rPr>
        <w:t>同通用条款</w:t>
      </w:r>
      <w:r>
        <w:rPr>
          <w:rFonts w:hint="eastAsia" w:ascii="仿宋" w:hAnsi="仿宋" w:eastAsia="仿宋" w:cs="仿宋"/>
          <w:color w:val="000000"/>
          <w:sz w:val="24"/>
          <w:szCs w:val="24"/>
          <w:highlight w:val="none"/>
          <w:lang w:val="en-US" w:eastAsia="zh-CN"/>
        </w:rPr>
        <w:t>。</w:t>
      </w:r>
    </w:p>
    <w:p w14:paraId="1E15DCB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 设计人违约责任</w:t>
      </w:r>
    </w:p>
    <w:p w14:paraId="29369D1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14.2.1 设计人支付发包人的违约金：</w:t>
      </w:r>
      <w:r>
        <w:rPr>
          <w:rFonts w:hint="eastAsia" w:ascii="仿宋" w:hAnsi="仿宋" w:eastAsia="仿宋" w:cs="仿宋"/>
          <w:color w:val="000000"/>
          <w:sz w:val="24"/>
          <w:szCs w:val="24"/>
          <w:highlight w:val="none"/>
          <w:u w:val="single"/>
          <w:lang w:val="en-US" w:eastAsia="zh-CN"/>
        </w:rPr>
        <w:t>同通用条款</w:t>
      </w:r>
      <w:r>
        <w:rPr>
          <w:rFonts w:hint="eastAsia" w:ascii="仿宋" w:hAnsi="仿宋" w:eastAsia="仿宋" w:cs="仿宋"/>
          <w:color w:val="000000"/>
          <w:sz w:val="24"/>
          <w:szCs w:val="24"/>
          <w:highlight w:val="none"/>
          <w:lang w:val="en-US" w:eastAsia="zh-CN"/>
        </w:rPr>
        <w:t>。</w:t>
      </w:r>
    </w:p>
    <w:p w14:paraId="34F203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14.2.2 设计人逾期交付工程设计成果文件的违约金：设计人按下列标准向发包人缴纳违约金：</w:t>
      </w:r>
      <w:r>
        <w:rPr>
          <w:rFonts w:hint="eastAsia" w:ascii="仿宋" w:hAnsi="仿宋" w:eastAsia="仿宋" w:cs="仿宋"/>
          <w:color w:val="000000"/>
          <w:sz w:val="24"/>
          <w:szCs w:val="24"/>
          <w:highlight w:val="none"/>
          <w:u w:val="single"/>
          <w:lang w:val="en-US" w:eastAsia="zh-CN"/>
        </w:rPr>
        <w:t>每延迟交付 1 天按合同价款的千分之一向发包人缴纳违约金</w:t>
      </w:r>
      <w:r>
        <w:rPr>
          <w:rFonts w:hint="eastAsia" w:ascii="仿宋" w:hAnsi="仿宋" w:eastAsia="仿宋" w:cs="仿宋"/>
          <w:color w:val="000000"/>
          <w:sz w:val="24"/>
          <w:szCs w:val="24"/>
          <w:highlight w:val="none"/>
          <w:lang w:val="en-US" w:eastAsia="zh-CN"/>
        </w:rPr>
        <w:t>。</w:t>
      </w:r>
    </w:p>
    <w:p w14:paraId="1652A1A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设计人逾期交付工程设计成果文件的违约金的上限：</w:t>
      </w:r>
      <w:r>
        <w:rPr>
          <w:rFonts w:hint="eastAsia" w:ascii="仿宋" w:hAnsi="仿宋" w:eastAsia="仿宋" w:cs="仿宋"/>
          <w:color w:val="000000"/>
          <w:sz w:val="24"/>
          <w:szCs w:val="24"/>
          <w:highlight w:val="none"/>
          <w:u w:val="single"/>
          <w:lang w:val="en-US" w:eastAsia="zh-CN"/>
        </w:rPr>
        <w:t xml:space="preserve"> 合同总价款 </w:t>
      </w:r>
      <w:r>
        <w:rPr>
          <w:rFonts w:hint="eastAsia" w:ascii="仿宋" w:hAnsi="仿宋" w:eastAsia="仿宋" w:cs="仿宋"/>
          <w:color w:val="000000"/>
          <w:sz w:val="24"/>
          <w:szCs w:val="24"/>
          <w:highlight w:val="none"/>
          <w:lang w:val="en-US" w:eastAsia="zh-CN"/>
        </w:rPr>
        <w:t>。</w:t>
      </w:r>
    </w:p>
    <w:p w14:paraId="51E49C1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14.2.3 设计人设计成果文件不合格的损失赔偿金的上限：</w:t>
      </w:r>
      <w:r>
        <w:rPr>
          <w:rFonts w:hint="eastAsia" w:ascii="仿宋" w:hAnsi="仿宋" w:eastAsia="仿宋" w:cs="仿宋"/>
          <w:color w:val="000000"/>
          <w:sz w:val="24"/>
          <w:szCs w:val="24"/>
          <w:highlight w:val="none"/>
          <w:u w:val="single"/>
          <w:lang w:val="en-US" w:eastAsia="zh-CN"/>
        </w:rPr>
        <w:t>合同总价款</w:t>
      </w:r>
      <w:r>
        <w:rPr>
          <w:rFonts w:hint="eastAsia" w:ascii="仿宋" w:hAnsi="仿宋" w:eastAsia="仿宋" w:cs="仿宋"/>
          <w:color w:val="000000"/>
          <w:sz w:val="24"/>
          <w:szCs w:val="24"/>
          <w:highlight w:val="none"/>
          <w:lang w:val="en-US" w:eastAsia="zh-CN"/>
        </w:rPr>
        <w:t>。</w:t>
      </w:r>
    </w:p>
    <w:p w14:paraId="50A689F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14.2.4 设计人未经发包人同意擅自对工程设计进行分包的违约责任：</w:t>
      </w:r>
      <w:r>
        <w:rPr>
          <w:rFonts w:hint="eastAsia" w:ascii="仿宋" w:hAnsi="仿宋" w:eastAsia="仿宋" w:cs="仿宋"/>
          <w:color w:val="000000"/>
          <w:sz w:val="24"/>
          <w:szCs w:val="24"/>
          <w:highlight w:val="none"/>
          <w:u w:val="single"/>
          <w:lang w:val="en-US" w:eastAsia="zh-CN"/>
        </w:rPr>
        <w:t xml:space="preserve">发包人有权要求设计人解除未经发包人同意的工程分包合同，有权要求设计人赔偿因为工程分包而造成的损失 </w:t>
      </w:r>
      <w:r>
        <w:rPr>
          <w:rFonts w:hint="eastAsia" w:ascii="仿宋" w:hAnsi="仿宋" w:eastAsia="仿宋" w:cs="仿宋"/>
          <w:color w:val="000000"/>
          <w:sz w:val="24"/>
          <w:szCs w:val="24"/>
          <w:highlight w:val="none"/>
          <w:lang w:val="en-US" w:eastAsia="zh-CN"/>
        </w:rPr>
        <w:t>。</w:t>
      </w:r>
    </w:p>
    <w:p w14:paraId="1EBA29A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15. 不可抗力</w:t>
      </w:r>
    </w:p>
    <w:p w14:paraId="0878DAA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15.1 不可抗力的确认</w:t>
      </w:r>
    </w:p>
    <w:p w14:paraId="2BA1ECD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除通用合同条款约定的不可抗力事件之外，视为不可抗力的其他情形：</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w:t>
      </w:r>
    </w:p>
    <w:p w14:paraId="26BC63E2">
      <w:pPr>
        <w:pageBreakBefore w:val="0"/>
        <w:widowControl w:val="0"/>
        <w:numPr>
          <w:ilvl w:val="0"/>
          <w:numId w:val="2"/>
        </w:numPr>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合同解除</w:t>
      </w:r>
    </w:p>
    <w:p w14:paraId="7E16139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有下列情形之一的，可以解除合同：</w:t>
      </w:r>
      <w:r>
        <w:rPr>
          <w:rFonts w:hint="eastAsia" w:ascii="仿宋" w:hAnsi="仿宋" w:eastAsia="仿宋" w:cs="仿宋"/>
          <w:color w:val="000000"/>
          <w:sz w:val="24"/>
          <w:szCs w:val="24"/>
          <w:highlight w:val="none"/>
          <w:u w:val="single"/>
          <w:lang w:val="en-US" w:eastAsia="zh-CN"/>
        </w:rPr>
        <w:t xml:space="preserve"> 同通用条款 </w:t>
      </w:r>
      <w:r>
        <w:rPr>
          <w:rFonts w:hint="eastAsia" w:ascii="仿宋" w:hAnsi="仿宋" w:eastAsia="仿宋" w:cs="仿宋"/>
          <w:color w:val="000000"/>
          <w:sz w:val="24"/>
          <w:szCs w:val="24"/>
          <w:highlight w:val="none"/>
          <w:lang w:val="en-US" w:eastAsia="zh-CN"/>
        </w:rPr>
        <w:t>。</w:t>
      </w:r>
    </w:p>
    <w:p w14:paraId="689A58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 争议解决</w:t>
      </w:r>
    </w:p>
    <w:p w14:paraId="289999A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17.4 仲裁或诉讼</w:t>
      </w:r>
    </w:p>
    <w:p w14:paraId="31673C1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因合同及合同有关事项发生的争议，按下列第(2)种方式解决：</w:t>
      </w:r>
    </w:p>
    <w:p w14:paraId="0874A7B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（1）向</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lang w:val="en-US" w:eastAsia="zh-CN"/>
        </w:rPr>
        <w:t>仲裁委员会申请仲裁；</w:t>
      </w:r>
    </w:p>
    <w:p w14:paraId="435E5FC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（2）向</w:t>
      </w:r>
      <w:r>
        <w:rPr>
          <w:rFonts w:hint="eastAsia" w:ascii="仿宋" w:hAnsi="仿宋" w:eastAsia="仿宋" w:cs="仿宋"/>
          <w:color w:val="000000"/>
          <w:sz w:val="24"/>
          <w:szCs w:val="24"/>
          <w:highlight w:val="none"/>
          <w:u w:val="single"/>
          <w:lang w:val="en-US" w:eastAsia="zh-CN"/>
        </w:rPr>
        <w:t xml:space="preserve"> 项目所在地 </w:t>
      </w:r>
      <w:r>
        <w:rPr>
          <w:rFonts w:hint="eastAsia" w:ascii="仿宋" w:hAnsi="仿宋" w:eastAsia="仿宋" w:cs="仿宋"/>
          <w:color w:val="000000"/>
          <w:sz w:val="24"/>
          <w:szCs w:val="24"/>
          <w:highlight w:val="none"/>
          <w:lang w:val="en-US" w:eastAsia="zh-CN"/>
        </w:rPr>
        <w:t>人民法院起诉。</w:t>
      </w:r>
    </w:p>
    <w:p w14:paraId="4A90448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lang w:val="en-US" w:eastAsia="zh-CN"/>
        </w:rPr>
        <w:t>18. 其他：</w:t>
      </w:r>
      <w:r>
        <w:rPr>
          <w:rFonts w:hint="eastAsia" w:ascii="仿宋" w:hAnsi="仿宋" w:eastAsia="仿宋" w:cs="仿宋"/>
          <w:color w:val="000000"/>
          <w:sz w:val="24"/>
          <w:szCs w:val="24"/>
          <w:highlight w:val="none"/>
          <w:u w:val="single"/>
          <w:lang w:val="en-US" w:eastAsia="zh-CN"/>
        </w:rPr>
        <w:t xml:space="preserve">     无     </w:t>
      </w:r>
      <w:r>
        <w:rPr>
          <w:rFonts w:hint="eastAsia" w:ascii="仿宋" w:hAnsi="仿宋" w:eastAsia="仿宋" w:cs="仿宋"/>
          <w:color w:val="000000"/>
          <w:sz w:val="24"/>
          <w:szCs w:val="24"/>
          <w:highlight w:val="none"/>
          <w:u w:val="none"/>
          <w:lang w:val="en-US" w:eastAsia="zh-CN"/>
        </w:rPr>
        <w:t>。</w:t>
      </w:r>
    </w:p>
    <w:p w14:paraId="23AEF72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p>
    <w:p w14:paraId="1D1BDB4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附件1：工程设计范围、阶段与服务内容</w:t>
      </w:r>
    </w:p>
    <w:p w14:paraId="307EC8C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附件2：设计人向发包人交付的工程设计文件目录</w:t>
      </w:r>
    </w:p>
    <w:p w14:paraId="5FAC7B0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附件3：设计人主要设计人员表</w:t>
      </w:r>
    </w:p>
    <w:p w14:paraId="0076E4E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附件4：联合体协议</w:t>
      </w:r>
      <w:bookmarkStart w:id="3" w:name="_GoBack"/>
      <w:bookmarkEnd w:id="3"/>
    </w:p>
    <w:p w14:paraId="775A8C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br w:type="page"/>
      </w:r>
    </w:p>
    <w:p w14:paraId="654EC47F">
      <w:pPr>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附件1：</w:t>
      </w:r>
    </w:p>
    <w:p w14:paraId="7FC80133">
      <w:pPr>
        <w:pStyle w:val="11"/>
        <w:spacing w:before="302" w:line="220" w:lineRule="auto"/>
        <w:ind w:left="2"/>
        <w:rPr>
          <w:rFonts w:hint="eastAsia" w:ascii="仿宋" w:hAnsi="仿宋" w:eastAsia="仿宋" w:cs="仿宋"/>
          <w:sz w:val="24"/>
          <w:szCs w:val="24"/>
        </w:rPr>
      </w:pPr>
      <w:r>
        <w:rPr>
          <w:rFonts w:hint="eastAsia" w:ascii="仿宋" w:hAnsi="仿宋" w:eastAsia="仿宋" w:cs="仿宋"/>
          <w:spacing w:val="-1"/>
          <w:sz w:val="24"/>
          <w:szCs w:val="24"/>
        </w:rPr>
        <w:t>工程设计范围、阶段与服务内容</w:t>
      </w:r>
    </w:p>
    <w:p w14:paraId="52361D3D">
      <w:pPr>
        <w:spacing w:line="267" w:lineRule="auto"/>
        <w:rPr>
          <w:rFonts w:hint="eastAsia" w:ascii="仿宋" w:hAnsi="仿宋" w:eastAsia="仿宋" w:cs="仿宋"/>
          <w:sz w:val="24"/>
          <w:szCs w:val="24"/>
        </w:rPr>
      </w:pPr>
    </w:p>
    <w:p w14:paraId="20D05751">
      <w:pPr>
        <w:spacing w:line="268" w:lineRule="auto"/>
        <w:rPr>
          <w:rFonts w:hint="eastAsia" w:ascii="仿宋" w:hAnsi="仿宋" w:eastAsia="仿宋" w:cs="仿宋"/>
          <w:sz w:val="24"/>
          <w:szCs w:val="24"/>
        </w:rPr>
      </w:pPr>
    </w:p>
    <w:p w14:paraId="314B5451">
      <w:pPr>
        <w:pStyle w:val="11"/>
        <w:spacing w:before="78" w:line="219" w:lineRule="auto"/>
        <w:ind w:left="3"/>
        <w:rPr>
          <w:rFonts w:hint="eastAsia" w:ascii="仿宋" w:hAnsi="仿宋" w:eastAsia="仿宋" w:cs="仿宋"/>
          <w:sz w:val="24"/>
          <w:szCs w:val="24"/>
        </w:rPr>
      </w:pPr>
      <w:r>
        <w:rPr>
          <w:rFonts w:hint="eastAsia" w:ascii="仿宋" w:hAnsi="仿宋" w:eastAsia="仿宋" w:cs="仿宋"/>
          <w:b/>
          <w:bCs/>
          <w:spacing w:val="-4"/>
          <w:sz w:val="24"/>
          <w:szCs w:val="24"/>
        </w:rPr>
        <w:t>一、本工程设计范围</w:t>
      </w:r>
    </w:p>
    <w:p w14:paraId="36F29F55">
      <w:pPr>
        <w:pStyle w:val="11"/>
        <w:spacing w:before="303" w:line="219" w:lineRule="auto"/>
        <w:ind w:left="3"/>
        <w:rPr>
          <w:rFonts w:hint="eastAsia" w:ascii="仿宋" w:hAnsi="仿宋" w:eastAsia="仿宋" w:cs="仿宋"/>
          <w:sz w:val="24"/>
          <w:szCs w:val="24"/>
        </w:rPr>
      </w:pPr>
      <w:r>
        <w:rPr>
          <w:rFonts w:hint="eastAsia" w:ascii="仿宋" w:hAnsi="仿宋" w:eastAsia="仿宋" w:cs="仿宋"/>
          <w:b/>
          <w:bCs/>
          <w:spacing w:val="-3"/>
          <w:sz w:val="24"/>
          <w:szCs w:val="24"/>
        </w:rPr>
        <w:t>二、本工程设计阶段划分</w:t>
      </w:r>
    </w:p>
    <w:p w14:paraId="7E9CB6C8">
      <w:pPr>
        <w:pStyle w:val="11"/>
        <w:spacing w:before="300" w:line="220" w:lineRule="auto"/>
        <w:rPr>
          <w:rFonts w:hint="eastAsia" w:ascii="仿宋" w:hAnsi="仿宋" w:eastAsia="仿宋" w:cs="仿宋"/>
          <w:sz w:val="24"/>
          <w:szCs w:val="24"/>
        </w:rPr>
      </w:pPr>
      <w:r>
        <w:rPr>
          <w:rFonts w:hint="eastAsia" w:ascii="仿宋" w:hAnsi="仿宋" w:eastAsia="仿宋" w:cs="仿宋"/>
          <w:b/>
          <w:bCs/>
          <w:spacing w:val="-3"/>
          <w:sz w:val="24"/>
          <w:szCs w:val="24"/>
        </w:rPr>
        <w:t>三、设计各阶段服务内容</w:t>
      </w:r>
    </w:p>
    <w:p w14:paraId="5C36EF20">
      <w:pPr>
        <w:spacing w:line="269" w:lineRule="auto"/>
        <w:rPr>
          <w:rFonts w:hint="eastAsia" w:ascii="仿宋" w:hAnsi="仿宋" w:eastAsia="仿宋" w:cs="仿宋"/>
          <w:sz w:val="24"/>
          <w:szCs w:val="24"/>
        </w:rPr>
      </w:pPr>
    </w:p>
    <w:p w14:paraId="44BC2E1E">
      <w:pPr>
        <w:spacing w:line="269" w:lineRule="auto"/>
        <w:rPr>
          <w:rFonts w:hint="eastAsia" w:ascii="仿宋" w:hAnsi="仿宋" w:eastAsia="仿宋" w:cs="仿宋"/>
          <w:sz w:val="24"/>
          <w:szCs w:val="24"/>
        </w:rPr>
      </w:pPr>
    </w:p>
    <w:p w14:paraId="69029244">
      <w:pPr>
        <w:spacing w:line="269" w:lineRule="auto"/>
        <w:rPr>
          <w:rFonts w:hint="eastAsia" w:ascii="仿宋" w:hAnsi="仿宋" w:eastAsia="仿宋" w:cs="仿宋"/>
          <w:sz w:val="24"/>
          <w:szCs w:val="24"/>
        </w:rPr>
      </w:pPr>
    </w:p>
    <w:p w14:paraId="4DE4541B">
      <w:pPr>
        <w:pStyle w:val="11"/>
        <w:spacing w:before="1" w:line="221" w:lineRule="auto"/>
        <w:ind w:left="17"/>
        <w:rPr>
          <w:rFonts w:hint="eastAsia" w:ascii="仿宋" w:hAnsi="仿宋" w:eastAsia="仿宋" w:cs="仿宋"/>
          <w:sz w:val="24"/>
          <w:szCs w:val="24"/>
        </w:rPr>
      </w:pPr>
      <w:r>
        <w:rPr>
          <w:rFonts w:hint="eastAsia" w:ascii="仿宋" w:hAnsi="仿宋" w:eastAsia="仿宋" w:cs="仿宋"/>
          <w:spacing w:val="-4"/>
          <w:sz w:val="24"/>
          <w:szCs w:val="24"/>
        </w:rPr>
        <w:t>1.施工图设计阶段</w:t>
      </w:r>
    </w:p>
    <w:p w14:paraId="4C20BACE">
      <w:pPr>
        <w:spacing w:line="267" w:lineRule="auto"/>
        <w:rPr>
          <w:rFonts w:hint="eastAsia" w:ascii="仿宋" w:hAnsi="仿宋" w:eastAsia="仿宋" w:cs="仿宋"/>
          <w:sz w:val="24"/>
          <w:szCs w:val="24"/>
        </w:rPr>
      </w:pPr>
    </w:p>
    <w:p w14:paraId="04276210">
      <w:pPr>
        <w:rPr>
          <w:rFonts w:hint="eastAsia" w:ascii="仿宋" w:hAnsi="仿宋" w:eastAsia="仿宋" w:cs="仿宋"/>
          <w:spacing w:val="-2"/>
          <w:sz w:val="24"/>
          <w:szCs w:val="24"/>
        </w:rPr>
      </w:pPr>
      <w:r>
        <w:rPr>
          <w:rFonts w:hint="eastAsia" w:ascii="仿宋" w:hAnsi="仿宋" w:eastAsia="仿宋" w:cs="仿宋"/>
          <w:sz w:val="24"/>
          <w:szCs w:val="24"/>
          <w:lang w:val="en-US" w:eastAsia="zh-CN"/>
        </w:rPr>
        <w:t>2.初步设计阶段</w:t>
      </w:r>
      <w:r>
        <w:rPr>
          <w:rFonts w:hint="eastAsia" w:ascii="仿宋" w:hAnsi="仿宋" w:eastAsia="仿宋" w:cs="仿宋"/>
          <w:spacing w:val="-2"/>
          <w:sz w:val="24"/>
          <w:szCs w:val="24"/>
        </w:rPr>
        <w:br w:type="page"/>
      </w:r>
    </w:p>
    <w:p w14:paraId="317971A0">
      <w:pPr>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附件2：</w:t>
      </w:r>
    </w:p>
    <w:p w14:paraId="0FC91E2C">
      <w:pPr>
        <w:pStyle w:val="11"/>
        <w:spacing w:before="302" w:line="220" w:lineRule="auto"/>
        <w:ind w:left="122"/>
        <w:rPr>
          <w:rFonts w:hint="eastAsia" w:ascii="仿宋" w:hAnsi="仿宋" w:eastAsia="仿宋" w:cs="仿宋"/>
          <w:sz w:val="24"/>
          <w:szCs w:val="24"/>
        </w:rPr>
      </w:pPr>
      <w:r>
        <w:rPr>
          <w:rFonts w:hint="eastAsia" w:ascii="仿宋" w:hAnsi="仿宋" w:eastAsia="仿宋" w:cs="仿宋"/>
          <w:spacing w:val="-1"/>
          <w:sz w:val="24"/>
          <w:szCs w:val="24"/>
          <w:lang w:eastAsia="zh-CN"/>
        </w:rPr>
        <w:t>设计</w:t>
      </w:r>
      <w:r>
        <w:rPr>
          <w:rFonts w:hint="eastAsia" w:ascii="仿宋" w:hAnsi="仿宋" w:eastAsia="仿宋" w:cs="仿宋"/>
          <w:spacing w:val="-1"/>
          <w:sz w:val="24"/>
          <w:szCs w:val="24"/>
        </w:rPr>
        <w:t>人向发包人交付的工程设计文件目录</w:t>
      </w:r>
    </w:p>
    <w:p w14:paraId="24FCDD92">
      <w:pPr>
        <w:spacing w:before="42"/>
        <w:rPr>
          <w:rFonts w:hint="eastAsia" w:ascii="仿宋" w:hAnsi="仿宋" w:eastAsia="仿宋" w:cs="仿宋"/>
        </w:rPr>
      </w:pPr>
    </w:p>
    <w:p w14:paraId="4E36979A">
      <w:pPr>
        <w:spacing w:before="42"/>
        <w:rPr>
          <w:rFonts w:hint="eastAsia" w:ascii="仿宋" w:hAnsi="仿宋" w:eastAsia="仿宋" w:cs="仿宋"/>
        </w:rPr>
      </w:pPr>
    </w:p>
    <w:tbl>
      <w:tblPr>
        <w:tblStyle w:val="30"/>
        <w:tblW w:w="9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974"/>
        <w:gridCol w:w="1633"/>
        <w:gridCol w:w="2134"/>
        <w:gridCol w:w="1700"/>
      </w:tblGrid>
      <w:tr w14:paraId="4197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47" w:type="dxa"/>
            <w:noWrap w:val="0"/>
            <w:vAlign w:val="center"/>
          </w:tcPr>
          <w:p w14:paraId="3CC39069">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序号</w:t>
            </w:r>
          </w:p>
        </w:tc>
        <w:tc>
          <w:tcPr>
            <w:tcW w:w="2974" w:type="dxa"/>
            <w:noWrap w:val="0"/>
            <w:vAlign w:val="center"/>
          </w:tcPr>
          <w:p w14:paraId="517C4077">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资料及文件名称</w:t>
            </w:r>
          </w:p>
        </w:tc>
        <w:tc>
          <w:tcPr>
            <w:tcW w:w="1633" w:type="dxa"/>
            <w:noWrap w:val="0"/>
            <w:vAlign w:val="center"/>
          </w:tcPr>
          <w:p w14:paraId="4A8001BA">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份数</w:t>
            </w:r>
          </w:p>
        </w:tc>
        <w:tc>
          <w:tcPr>
            <w:tcW w:w="2134" w:type="dxa"/>
            <w:noWrap w:val="0"/>
            <w:vAlign w:val="center"/>
          </w:tcPr>
          <w:p w14:paraId="06533F39">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提交日期</w:t>
            </w:r>
          </w:p>
        </w:tc>
        <w:tc>
          <w:tcPr>
            <w:tcW w:w="1700" w:type="dxa"/>
            <w:noWrap w:val="0"/>
            <w:vAlign w:val="center"/>
          </w:tcPr>
          <w:p w14:paraId="72F1680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责任人</w:t>
            </w:r>
          </w:p>
        </w:tc>
      </w:tr>
      <w:tr w14:paraId="7D36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74EC8ACB">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974" w:type="dxa"/>
            <w:noWrap w:val="0"/>
            <w:vAlign w:val="center"/>
          </w:tcPr>
          <w:p w14:paraId="2010D95C">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1633" w:type="dxa"/>
            <w:noWrap w:val="0"/>
            <w:vAlign w:val="center"/>
          </w:tcPr>
          <w:p w14:paraId="6446572E">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2134" w:type="dxa"/>
            <w:noWrap w:val="0"/>
            <w:vAlign w:val="center"/>
          </w:tcPr>
          <w:p w14:paraId="4A95B4EE">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c>
          <w:tcPr>
            <w:tcW w:w="1700" w:type="dxa"/>
            <w:noWrap w:val="0"/>
            <w:vAlign w:val="center"/>
          </w:tcPr>
          <w:p w14:paraId="76A5AF27">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r>
      <w:tr w14:paraId="37DE7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68FD92D1">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974" w:type="dxa"/>
            <w:noWrap w:val="0"/>
            <w:vAlign w:val="center"/>
          </w:tcPr>
          <w:p w14:paraId="28AE0646">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1633" w:type="dxa"/>
            <w:noWrap w:val="0"/>
            <w:vAlign w:val="center"/>
          </w:tcPr>
          <w:p w14:paraId="7B86BC7A">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2134" w:type="dxa"/>
            <w:noWrap w:val="0"/>
            <w:vAlign w:val="center"/>
          </w:tcPr>
          <w:p w14:paraId="5ABDDB46">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c>
          <w:tcPr>
            <w:tcW w:w="1700" w:type="dxa"/>
            <w:noWrap w:val="0"/>
            <w:vAlign w:val="center"/>
          </w:tcPr>
          <w:p w14:paraId="4EEB3940">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r>
      <w:tr w14:paraId="67E2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593CD7FB">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974" w:type="dxa"/>
            <w:noWrap w:val="0"/>
            <w:vAlign w:val="center"/>
          </w:tcPr>
          <w:p w14:paraId="22AF27BE">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1633" w:type="dxa"/>
            <w:noWrap w:val="0"/>
            <w:vAlign w:val="center"/>
          </w:tcPr>
          <w:p w14:paraId="672EF5EB">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2134" w:type="dxa"/>
            <w:noWrap w:val="0"/>
            <w:vAlign w:val="center"/>
          </w:tcPr>
          <w:p w14:paraId="1DB336C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c>
          <w:tcPr>
            <w:tcW w:w="1700" w:type="dxa"/>
            <w:noWrap w:val="0"/>
            <w:vAlign w:val="center"/>
          </w:tcPr>
          <w:p w14:paraId="60A2FC8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r>
      <w:tr w14:paraId="6751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54E562C6">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974" w:type="dxa"/>
            <w:noWrap w:val="0"/>
            <w:vAlign w:val="center"/>
          </w:tcPr>
          <w:p w14:paraId="5E2C3041">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1633" w:type="dxa"/>
            <w:noWrap w:val="0"/>
            <w:vAlign w:val="center"/>
          </w:tcPr>
          <w:p w14:paraId="58D17D5E">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仿宋" w:hAnsi="仿宋" w:eastAsia="仿宋" w:cs="仿宋"/>
                <w:sz w:val="24"/>
                <w:szCs w:val="24"/>
                <w:highlight w:val="none"/>
                <w:lang w:val="en-US" w:eastAsia="zh-CN"/>
              </w:rPr>
            </w:pPr>
          </w:p>
        </w:tc>
        <w:tc>
          <w:tcPr>
            <w:tcW w:w="2134" w:type="dxa"/>
            <w:noWrap w:val="0"/>
            <w:vAlign w:val="center"/>
          </w:tcPr>
          <w:p w14:paraId="3EC98356">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c>
          <w:tcPr>
            <w:tcW w:w="1700" w:type="dxa"/>
            <w:noWrap w:val="0"/>
            <w:vAlign w:val="center"/>
          </w:tcPr>
          <w:p w14:paraId="0835C85F">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仿宋" w:hAnsi="仿宋" w:eastAsia="仿宋" w:cs="仿宋"/>
                <w:sz w:val="24"/>
                <w:szCs w:val="24"/>
                <w:highlight w:val="none"/>
                <w:lang w:val="en-US" w:eastAsia="zh-CN"/>
              </w:rPr>
            </w:pPr>
          </w:p>
        </w:tc>
      </w:tr>
    </w:tbl>
    <w:p w14:paraId="2123E51E">
      <w:pPr>
        <w:spacing w:before="42"/>
        <w:rPr>
          <w:rFonts w:hint="eastAsia" w:ascii="仿宋" w:hAnsi="仿宋" w:eastAsia="仿宋" w:cs="仿宋"/>
        </w:rPr>
      </w:pPr>
    </w:p>
    <w:p w14:paraId="4DF7E906">
      <w:pPr>
        <w:spacing w:line="270" w:lineRule="auto"/>
        <w:rPr>
          <w:rFonts w:hint="eastAsia" w:ascii="仿宋" w:hAnsi="仿宋" w:eastAsia="仿宋" w:cs="仿宋"/>
          <w:sz w:val="21"/>
        </w:rPr>
      </w:pPr>
    </w:p>
    <w:p w14:paraId="3DA0261D">
      <w:pPr>
        <w:spacing w:line="248" w:lineRule="auto"/>
        <w:rPr>
          <w:rFonts w:hint="eastAsia" w:ascii="仿宋" w:hAnsi="仿宋" w:eastAsia="仿宋" w:cs="仿宋"/>
          <w:sz w:val="21"/>
        </w:rPr>
      </w:pPr>
    </w:p>
    <w:p w14:paraId="241D2763">
      <w:pPr>
        <w:pStyle w:val="11"/>
        <w:spacing w:before="78" w:line="360" w:lineRule="auto"/>
        <w:ind w:left="2"/>
        <w:rPr>
          <w:rFonts w:hint="eastAsia" w:ascii="仿宋" w:hAnsi="仿宋" w:eastAsia="仿宋" w:cs="仿宋"/>
          <w:spacing w:val="-2"/>
          <w:sz w:val="24"/>
          <w:szCs w:val="24"/>
        </w:rPr>
      </w:pPr>
    </w:p>
    <w:p w14:paraId="17D57AB4">
      <w:pPr>
        <w:pStyle w:val="19"/>
        <w:ind w:left="0" w:leftChars="0" w:firstLine="0" w:firstLineChars="0"/>
        <w:rPr>
          <w:rFonts w:hint="eastAsia" w:ascii="仿宋" w:hAnsi="仿宋" w:eastAsia="仿宋" w:cs="仿宋"/>
          <w:lang w:val="en-US" w:eastAsia="zh-CN"/>
        </w:rPr>
      </w:pPr>
    </w:p>
    <w:p w14:paraId="2130D934">
      <w:pPr>
        <w:rPr>
          <w:rFonts w:hint="eastAsia" w:ascii="仿宋" w:hAnsi="仿宋" w:eastAsia="仿宋" w:cs="仿宋"/>
          <w:b/>
          <w:color w:val="000000"/>
          <w:sz w:val="30"/>
          <w:szCs w:val="30"/>
          <w:highlight w:val="none"/>
        </w:rPr>
      </w:pPr>
    </w:p>
    <w:p w14:paraId="15AB652E">
      <w:pPr>
        <w:rPr>
          <w:rFonts w:hint="eastAsia" w:ascii="仿宋" w:hAnsi="仿宋" w:eastAsia="仿宋" w:cs="仿宋"/>
          <w:b/>
          <w:color w:val="000000"/>
          <w:sz w:val="30"/>
          <w:szCs w:val="30"/>
          <w:highlight w:val="none"/>
        </w:rPr>
      </w:pPr>
    </w:p>
    <w:p w14:paraId="04C61439">
      <w:pPr>
        <w:rPr>
          <w:rFonts w:hint="eastAsia" w:ascii="仿宋" w:hAnsi="仿宋" w:eastAsia="仿宋" w:cs="仿宋"/>
          <w:b/>
          <w:color w:val="000000"/>
          <w:sz w:val="30"/>
          <w:szCs w:val="30"/>
          <w:highlight w:val="none"/>
        </w:rPr>
      </w:pPr>
    </w:p>
    <w:p w14:paraId="5194CC08">
      <w:pPr>
        <w:rPr>
          <w:rFonts w:hint="eastAsia" w:ascii="仿宋" w:hAnsi="仿宋" w:eastAsia="仿宋" w:cs="仿宋"/>
          <w:b/>
          <w:color w:val="000000"/>
          <w:sz w:val="30"/>
          <w:szCs w:val="30"/>
          <w:highlight w:val="none"/>
        </w:rPr>
      </w:pPr>
    </w:p>
    <w:p w14:paraId="23026D0D">
      <w:pPr>
        <w:rPr>
          <w:rFonts w:hint="eastAsia" w:ascii="仿宋" w:hAnsi="仿宋" w:eastAsia="仿宋" w:cs="仿宋"/>
          <w:b/>
          <w:color w:val="000000"/>
          <w:sz w:val="30"/>
          <w:szCs w:val="30"/>
          <w:highlight w:val="none"/>
        </w:rPr>
      </w:pPr>
    </w:p>
    <w:p w14:paraId="02830942">
      <w:pPr>
        <w:rPr>
          <w:rFonts w:hint="eastAsia" w:ascii="仿宋" w:hAnsi="仿宋" w:eastAsia="仿宋" w:cs="仿宋"/>
          <w:b/>
          <w:color w:val="000000"/>
          <w:sz w:val="30"/>
          <w:szCs w:val="30"/>
          <w:highlight w:val="none"/>
        </w:rPr>
      </w:pPr>
    </w:p>
    <w:p w14:paraId="004E4813">
      <w:pPr>
        <w:rPr>
          <w:rFonts w:hint="eastAsia" w:ascii="仿宋" w:hAnsi="仿宋" w:eastAsia="仿宋" w:cs="仿宋"/>
          <w:b/>
          <w:color w:val="000000"/>
          <w:sz w:val="30"/>
          <w:szCs w:val="30"/>
          <w:highlight w:val="none"/>
        </w:rPr>
      </w:pPr>
    </w:p>
    <w:p w14:paraId="7E66BDD5">
      <w:pPr>
        <w:rPr>
          <w:rFonts w:hint="eastAsia" w:ascii="仿宋" w:hAnsi="仿宋" w:eastAsia="仿宋" w:cs="仿宋"/>
          <w:b/>
          <w:color w:val="000000"/>
          <w:sz w:val="30"/>
          <w:szCs w:val="30"/>
          <w:highlight w:val="none"/>
        </w:rPr>
      </w:pPr>
    </w:p>
    <w:p w14:paraId="6DA8EC2A">
      <w:pPr>
        <w:rPr>
          <w:rFonts w:hint="eastAsia" w:ascii="仿宋" w:hAnsi="仿宋" w:eastAsia="仿宋" w:cs="仿宋"/>
          <w:b/>
          <w:color w:val="000000"/>
          <w:sz w:val="30"/>
          <w:szCs w:val="30"/>
          <w:highlight w:val="none"/>
        </w:rPr>
      </w:pPr>
    </w:p>
    <w:p w14:paraId="3918D378">
      <w:pPr>
        <w:rPr>
          <w:rFonts w:hint="eastAsia" w:ascii="仿宋" w:hAnsi="仿宋" w:eastAsia="仿宋" w:cs="仿宋"/>
          <w:b/>
          <w:color w:val="000000"/>
          <w:sz w:val="30"/>
          <w:szCs w:val="30"/>
          <w:highlight w:val="none"/>
        </w:rPr>
      </w:pPr>
    </w:p>
    <w:p w14:paraId="7C935F7F">
      <w:pPr>
        <w:rPr>
          <w:rFonts w:hint="eastAsia" w:ascii="仿宋" w:hAnsi="仿宋" w:eastAsia="仿宋" w:cs="仿宋"/>
          <w:b/>
          <w:color w:val="000000"/>
          <w:sz w:val="30"/>
          <w:szCs w:val="30"/>
          <w:highlight w:val="none"/>
        </w:rPr>
      </w:pPr>
    </w:p>
    <w:p w14:paraId="7A93A347">
      <w:pPr>
        <w:rPr>
          <w:rFonts w:hint="eastAsia" w:ascii="仿宋" w:hAnsi="仿宋" w:eastAsia="仿宋" w:cs="仿宋"/>
          <w:b/>
          <w:color w:val="000000"/>
          <w:sz w:val="30"/>
          <w:szCs w:val="30"/>
          <w:highlight w:val="none"/>
        </w:rPr>
      </w:pPr>
    </w:p>
    <w:p w14:paraId="0BDA784B">
      <w:pPr>
        <w:rPr>
          <w:rFonts w:hint="eastAsia" w:ascii="仿宋" w:hAnsi="仿宋" w:eastAsia="仿宋" w:cs="仿宋"/>
          <w:b/>
          <w:color w:val="000000"/>
          <w:sz w:val="30"/>
          <w:szCs w:val="30"/>
          <w:highlight w:val="none"/>
        </w:rPr>
      </w:pPr>
    </w:p>
    <w:p w14:paraId="3E252DBD">
      <w:pPr>
        <w:rPr>
          <w:rFonts w:hint="eastAsia" w:ascii="仿宋" w:hAnsi="仿宋" w:eastAsia="仿宋" w:cs="仿宋"/>
          <w:b/>
          <w:color w:val="000000"/>
          <w:sz w:val="30"/>
          <w:szCs w:val="30"/>
          <w:highlight w:val="none"/>
        </w:rPr>
      </w:pPr>
    </w:p>
    <w:p w14:paraId="7C9E0FDB">
      <w:pPr>
        <w:rPr>
          <w:rFonts w:hint="eastAsia" w:ascii="仿宋" w:hAnsi="仿宋" w:eastAsia="仿宋" w:cs="仿宋"/>
          <w:b/>
          <w:color w:val="000000"/>
          <w:sz w:val="30"/>
          <w:szCs w:val="30"/>
          <w:highlight w:val="none"/>
        </w:rPr>
      </w:pPr>
    </w:p>
    <w:p w14:paraId="1C7487EB">
      <w:pPr>
        <w:rPr>
          <w:rFonts w:hint="eastAsia" w:ascii="仿宋" w:hAnsi="仿宋" w:eastAsia="仿宋" w:cs="仿宋"/>
          <w:b/>
          <w:color w:val="000000"/>
          <w:sz w:val="30"/>
          <w:szCs w:val="30"/>
          <w:highlight w:val="none"/>
        </w:rPr>
      </w:pPr>
    </w:p>
    <w:p w14:paraId="62151AD5">
      <w:pPr>
        <w:rPr>
          <w:rFonts w:hint="eastAsia" w:ascii="仿宋" w:hAnsi="仿宋" w:eastAsia="仿宋" w:cs="仿宋"/>
          <w:b/>
          <w:color w:val="000000"/>
          <w:sz w:val="30"/>
          <w:szCs w:val="30"/>
          <w:highlight w:val="none"/>
        </w:rPr>
      </w:pPr>
    </w:p>
    <w:p w14:paraId="3CCDA5EA">
      <w:pPr>
        <w:rPr>
          <w:rFonts w:hint="eastAsia" w:ascii="仿宋" w:hAnsi="仿宋" w:eastAsia="仿宋" w:cs="仿宋"/>
          <w:b/>
          <w:color w:val="000000"/>
          <w:sz w:val="30"/>
          <w:szCs w:val="30"/>
          <w:highlight w:val="none"/>
        </w:rPr>
      </w:pPr>
    </w:p>
    <w:p w14:paraId="447D2567">
      <w:pPr>
        <w:rPr>
          <w:rFonts w:hint="eastAsia" w:ascii="仿宋" w:hAnsi="仿宋" w:eastAsia="仿宋" w:cs="仿宋"/>
          <w:b/>
          <w:color w:val="000000"/>
          <w:sz w:val="30"/>
          <w:szCs w:val="30"/>
          <w:highlight w:val="none"/>
        </w:rPr>
      </w:pPr>
    </w:p>
    <w:p w14:paraId="323B73E6">
      <w:pPr>
        <w:rPr>
          <w:rFonts w:hint="eastAsia" w:ascii="仿宋" w:hAnsi="仿宋" w:eastAsia="仿宋" w:cs="仿宋"/>
          <w:b/>
          <w:color w:val="000000"/>
          <w:sz w:val="30"/>
          <w:szCs w:val="30"/>
          <w:highlight w:val="none"/>
        </w:rPr>
      </w:pPr>
    </w:p>
    <w:p w14:paraId="2C5ACA5B">
      <w:pPr>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附件</w:t>
      </w:r>
      <w:r>
        <w:rPr>
          <w:rFonts w:hint="eastAsia" w:ascii="仿宋" w:hAnsi="仿宋" w:eastAsia="仿宋" w:cs="仿宋"/>
          <w:b/>
          <w:color w:val="000000"/>
          <w:sz w:val="30"/>
          <w:szCs w:val="30"/>
          <w:highlight w:val="none"/>
          <w:lang w:val="en-US" w:eastAsia="zh-CN"/>
        </w:rPr>
        <w:t>3</w:t>
      </w:r>
      <w:r>
        <w:rPr>
          <w:rFonts w:hint="eastAsia" w:ascii="仿宋" w:hAnsi="仿宋" w:eastAsia="仿宋" w:cs="仿宋"/>
          <w:b/>
          <w:color w:val="000000"/>
          <w:sz w:val="30"/>
          <w:szCs w:val="30"/>
          <w:highlight w:val="none"/>
        </w:rPr>
        <w:t>：设计人主要人员表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027"/>
        <w:gridCol w:w="1092"/>
        <w:gridCol w:w="1101"/>
        <w:gridCol w:w="1186"/>
        <w:gridCol w:w="1840"/>
        <w:gridCol w:w="2149"/>
      </w:tblGrid>
      <w:tr w14:paraId="5086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847" w:type="dxa"/>
            <w:noWrap w:val="0"/>
            <w:vAlign w:val="center"/>
          </w:tcPr>
          <w:p w14:paraId="6DA60690">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姓名</w:t>
            </w:r>
          </w:p>
        </w:tc>
        <w:tc>
          <w:tcPr>
            <w:tcW w:w="1027" w:type="dxa"/>
            <w:noWrap w:val="0"/>
            <w:vAlign w:val="center"/>
          </w:tcPr>
          <w:p w14:paraId="6AF66CC1">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性别</w:t>
            </w:r>
          </w:p>
        </w:tc>
        <w:tc>
          <w:tcPr>
            <w:tcW w:w="1092" w:type="dxa"/>
            <w:noWrap w:val="0"/>
            <w:vAlign w:val="center"/>
          </w:tcPr>
          <w:p w14:paraId="68C84E74">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年龄</w:t>
            </w:r>
          </w:p>
        </w:tc>
        <w:tc>
          <w:tcPr>
            <w:tcW w:w="1101" w:type="dxa"/>
            <w:noWrap w:val="0"/>
            <w:vAlign w:val="center"/>
          </w:tcPr>
          <w:p w14:paraId="055F095E">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职称</w:t>
            </w:r>
          </w:p>
        </w:tc>
        <w:tc>
          <w:tcPr>
            <w:tcW w:w="1186" w:type="dxa"/>
            <w:noWrap w:val="0"/>
            <w:vAlign w:val="center"/>
          </w:tcPr>
          <w:p w14:paraId="5DA3827B">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专业</w:t>
            </w:r>
          </w:p>
        </w:tc>
        <w:tc>
          <w:tcPr>
            <w:tcW w:w="1840" w:type="dxa"/>
            <w:noWrap w:val="0"/>
            <w:vAlign w:val="center"/>
          </w:tcPr>
          <w:p w14:paraId="1075D7B3">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专业工作年限</w:t>
            </w:r>
          </w:p>
        </w:tc>
        <w:tc>
          <w:tcPr>
            <w:tcW w:w="2149" w:type="dxa"/>
            <w:noWrap w:val="0"/>
            <w:vAlign w:val="center"/>
          </w:tcPr>
          <w:p w14:paraId="757EC31F">
            <w:pPr>
              <w:pStyle w:val="4"/>
              <w:suppressLineNumbers w:val="0"/>
              <w:spacing w:beforeAutospacing="0" w:afterAutospacing="0"/>
              <w:ind w:left="0" w:right="0"/>
              <w:jc w:val="center"/>
              <w:outlineLvl w:val="2"/>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拟在本项目中担任的工作或岗位</w:t>
            </w:r>
          </w:p>
        </w:tc>
      </w:tr>
      <w:tr w14:paraId="1AB1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0A14D453">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08677219">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0968CCBC">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58D72A5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7E566240">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6B51C4CD">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32F044A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r w14:paraId="6844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3EF546D9">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481AFA85">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3DBAB3C3">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61B69128">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1D9D6C6D">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4B1D1E3E">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52078231">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r w14:paraId="5FC6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1A984083">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448C487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2762C10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5FC7EF5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362F8762">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5244ED31">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3C657AB6">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r w14:paraId="08AF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15AF168C">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3975B80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4D91635F">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3A6A0403">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39F13C56">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359D5534">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22C256FF">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r w14:paraId="4EAB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406F164C">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40AF2B9D">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2EDC11B7">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5CEDCCF9">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3DDA2A5F">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129EEC7C">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7886F2C0">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r w14:paraId="555D1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47" w:type="dxa"/>
            <w:noWrap w:val="0"/>
            <w:vAlign w:val="center"/>
          </w:tcPr>
          <w:p w14:paraId="735AE0E8">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27" w:type="dxa"/>
            <w:noWrap w:val="0"/>
            <w:vAlign w:val="center"/>
          </w:tcPr>
          <w:p w14:paraId="64550D30">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092" w:type="dxa"/>
            <w:noWrap w:val="0"/>
            <w:vAlign w:val="center"/>
          </w:tcPr>
          <w:p w14:paraId="03A28AD9">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01" w:type="dxa"/>
            <w:noWrap w:val="0"/>
            <w:vAlign w:val="center"/>
          </w:tcPr>
          <w:p w14:paraId="3F69128A">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186" w:type="dxa"/>
            <w:noWrap w:val="0"/>
            <w:vAlign w:val="center"/>
          </w:tcPr>
          <w:p w14:paraId="5CB3090A">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1840" w:type="dxa"/>
            <w:noWrap w:val="0"/>
            <w:vAlign w:val="center"/>
          </w:tcPr>
          <w:p w14:paraId="619BC2A3">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c>
          <w:tcPr>
            <w:tcW w:w="2149" w:type="dxa"/>
            <w:noWrap w:val="0"/>
            <w:vAlign w:val="center"/>
          </w:tcPr>
          <w:p w14:paraId="2AFFBE16">
            <w:pPr>
              <w:pStyle w:val="4"/>
              <w:suppressLineNumbers w:val="0"/>
              <w:spacing w:beforeAutospacing="0" w:afterAutospacing="0"/>
              <w:ind w:left="0" w:right="0" w:firstLine="482"/>
              <w:jc w:val="center"/>
              <w:outlineLvl w:val="2"/>
              <w:rPr>
                <w:rFonts w:hint="eastAsia" w:ascii="仿宋" w:hAnsi="仿宋" w:eastAsia="仿宋" w:cs="仿宋"/>
                <w:sz w:val="24"/>
                <w:szCs w:val="24"/>
                <w:highlight w:val="none"/>
                <w:lang w:val="en-US" w:eastAsia="zh-CN"/>
              </w:rPr>
            </w:pPr>
          </w:p>
        </w:tc>
      </w:tr>
    </w:tbl>
    <w:p w14:paraId="331F6E5F">
      <w:pPr>
        <w:rPr>
          <w:rFonts w:hint="eastAsia" w:ascii="仿宋" w:hAnsi="仿宋" w:eastAsia="仿宋" w:cs="仿宋"/>
        </w:rPr>
      </w:pPr>
      <w:r>
        <w:rPr>
          <w:rFonts w:hint="eastAsia" w:ascii="仿宋" w:hAnsi="仿宋" w:eastAsia="仿宋" w:cs="仿宋"/>
        </w:rPr>
        <w:br w:type="page"/>
      </w:r>
    </w:p>
    <w:p w14:paraId="24404653">
      <w:pPr>
        <w:rPr>
          <w:rFonts w:hint="default" w:ascii="仿宋" w:hAnsi="仿宋" w:eastAsia="仿宋" w:cs="仿宋"/>
          <w:b/>
          <w:color w:val="000000"/>
          <w:sz w:val="30"/>
          <w:szCs w:val="30"/>
          <w:highlight w:val="none"/>
          <w:lang w:val="en-US" w:eastAsia="zh-CN"/>
        </w:rPr>
      </w:pPr>
      <w:r>
        <w:rPr>
          <w:rFonts w:hint="eastAsia" w:ascii="仿宋" w:hAnsi="仿宋" w:eastAsia="仿宋" w:cs="仿宋"/>
          <w:b/>
          <w:color w:val="000000"/>
          <w:sz w:val="30"/>
          <w:szCs w:val="30"/>
          <w:highlight w:val="none"/>
        </w:rPr>
        <w:t>附件</w:t>
      </w:r>
      <w:r>
        <w:rPr>
          <w:rFonts w:hint="eastAsia" w:ascii="仿宋" w:hAnsi="仿宋" w:eastAsia="仿宋" w:cs="仿宋"/>
          <w:b/>
          <w:color w:val="000000"/>
          <w:sz w:val="30"/>
          <w:szCs w:val="30"/>
          <w:highlight w:val="none"/>
          <w:lang w:val="en-US" w:eastAsia="zh-CN"/>
        </w:rPr>
        <w:t>4</w:t>
      </w:r>
      <w:r>
        <w:rPr>
          <w:rFonts w:hint="eastAsia" w:ascii="仿宋" w:hAnsi="仿宋" w:eastAsia="仿宋" w:cs="仿宋"/>
          <w:b/>
          <w:color w:val="000000"/>
          <w:sz w:val="30"/>
          <w:szCs w:val="30"/>
          <w:highlight w:val="none"/>
        </w:rPr>
        <w:t>：</w:t>
      </w:r>
      <w:r>
        <w:rPr>
          <w:rFonts w:hint="eastAsia" w:ascii="仿宋" w:hAnsi="仿宋" w:eastAsia="仿宋" w:cs="仿宋"/>
          <w:b/>
          <w:color w:val="000000"/>
          <w:sz w:val="30"/>
          <w:szCs w:val="30"/>
          <w:highlight w:val="none"/>
          <w:lang w:val="en-US" w:eastAsia="zh-CN"/>
        </w:rPr>
        <w:t>联合体协议</w:t>
      </w:r>
    </w:p>
    <w:p w14:paraId="00E017FD">
      <w:pPr>
        <w:spacing w:before="71" w:line="221" w:lineRule="auto"/>
        <w:ind w:left="3228"/>
        <w:outlineLvl w:val="9"/>
        <w:rPr>
          <w:rFonts w:hint="eastAsia" w:ascii="仿宋" w:hAnsi="仿宋" w:eastAsia="仿宋" w:cs="仿宋"/>
          <w:b/>
          <w:bCs/>
          <w:sz w:val="32"/>
          <w:szCs w:val="32"/>
        </w:rPr>
      </w:pPr>
    </w:p>
    <w:p w14:paraId="1E9CFAC9">
      <w:pPr>
        <w:spacing w:before="71" w:line="221" w:lineRule="auto"/>
        <w:ind w:left="3228"/>
        <w:outlineLvl w:val="9"/>
        <w:rPr>
          <w:rFonts w:hint="eastAsia" w:ascii="仿宋" w:hAnsi="仿宋" w:eastAsia="仿宋" w:cs="仿宋"/>
          <w:sz w:val="28"/>
          <w:szCs w:val="28"/>
        </w:rPr>
      </w:pPr>
      <w:r>
        <w:rPr>
          <w:rFonts w:hint="eastAsia" w:ascii="仿宋" w:hAnsi="仿宋" w:eastAsia="仿宋" w:cs="仿宋"/>
          <w:b/>
          <w:bCs/>
          <w:sz w:val="32"/>
          <w:szCs w:val="32"/>
        </w:rPr>
        <w:t>联合体协议书</w:t>
      </w:r>
    </w:p>
    <w:p w14:paraId="56CC73DA">
      <w:pPr>
        <w:pStyle w:val="11"/>
        <w:spacing w:line="337" w:lineRule="auto"/>
        <w:outlineLvl w:val="9"/>
        <w:rPr>
          <w:rFonts w:hint="eastAsia" w:ascii="仿宋" w:hAnsi="仿宋" w:eastAsia="仿宋" w:cs="仿宋"/>
          <w:sz w:val="24"/>
          <w:szCs w:val="24"/>
        </w:rPr>
      </w:pPr>
    </w:p>
    <w:p w14:paraId="3AE31EF9">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u w:val="single"/>
        </w:rPr>
        <w:t>（所有成员单位名称）</w:t>
      </w:r>
      <w:r>
        <w:rPr>
          <w:rFonts w:hint="eastAsia" w:ascii="仿宋" w:hAnsi="仿宋" w:eastAsia="仿宋" w:cs="仿宋"/>
          <w:sz w:val="21"/>
          <w:szCs w:val="21"/>
        </w:rPr>
        <w:t>自愿组成联合体，以</w:t>
      </w:r>
      <w:r>
        <w:rPr>
          <w:rFonts w:hint="eastAsia" w:ascii="仿宋" w:hAnsi="仿宋" w:eastAsia="仿宋" w:cs="仿宋"/>
          <w:sz w:val="21"/>
          <w:szCs w:val="21"/>
          <w:u w:val="single"/>
        </w:rPr>
        <w:t>（牵头人名称）</w:t>
      </w:r>
      <w:r>
        <w:rPr>
          <w:rFonts w:hint="eastAsia" w:ascii="仿宋" w:hAnsi="仿宋" w:eastAsia="仿宋" w:cs="仿宋"/>
          <w:sz w:val="21"/>
          <w:szCs w:val="21"/>
        </w:rPr>
        <w:t>为代表，共同参加</w:t>
      </w:r>
      <w:r>
        <w:rPr>
          <w:rFonts w:hint="eastAsia" w:ascii="仿宋" w:hAnsi="仿宋" w:eastAsia="仿宋" w:cs="仿宋"/>
          <w:sz w:val="21"/>
          <w:szCs w:val="21"/>
          <w:u w:val="single"/>
        </w:rPr>
        <w:t>（项目名称）</w:t>
      </w:r>
      <w:r>
        <w:rPr>
          <w:rFonts w:hint="eastAsia" w:ascii="仿宋" w:hAnsi="仿宋" w:eastAsia="仿宋" w:cs="仿宋"/>
          <w:sz w:val="21"/>
          <w:szCs w:val="21"/>
        </w:rPr>
        <w:t>投标。现就联合体</w:t>
      </w:r>
      <w:r>
        <w:rPr>
          <w:rFonts w:hint="eastAsia" w:ascii="仿宋" w:hAnsi="仿宋" w:eastAsia="仿宋" w:cs="仿宋"/>
          <w:sz w:val="21"/>
          <w:szCs w:val="21"/>
          <w:lang w:val="en-US" w:eastAsia="zh-CN"/>
        </w:rPr>
        <w:t>磋商</w:t>
      </w:r>
      <w:r>
        <w:rPr>
          <w:rFonts w:hint="eastAsia" w:ascii="仿宋" w:hAnsi="仿宋" w:eastAsia="仿宋" w:cs="仿宋"/>
          <w:sz w:val="21"/>
          <w:szCs w:val="21"/>
        </w:rPr>
        <w:t>事宜订立如下协议。</w:t>
      </w:r>
    </w:p>
    <w:p w14:paraId="081B01CF">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u w:val="single"/>
        </w:rPr>
        <w:t>（某成员单位名称）</w:t>
      </w:r>
      <w:r>
        <w:rPr>
          <w:rFonts w:hint="eastAsia" w:ascii="仿宋" w:hAnsi="仿宋" w:eastAsia="仿宋" w:cs="仿宋"/>
          <w:sz w:val="21"/>
          <w:szCs w:val="21"/>
        </w:rPr>
        <w:t>为本</w:t>
      </w:r>
      <w:r>
        <w:rPr>
          <w:rFonts w:hint="eastAsia" w:ascii="仿宋" w:hAnsi="仿宋" w:eastAsia="仿宋" w:cs="仿宋"/>
          <w:sz w:val="21"/>
          <w:szCs w:val="21"/>
          <w:u w:val="single"/>
        </w:rPr>
        <w:t>（项目名称）</w:t>
      </w:r>
      <w:r>
        <w:rPr>
          <w:rFonts w:hint="eastAsia" w:ascii="仿宋" w:hAnsi="仿宋" w:eastAsia="仿宋" w:cs="仿宋"/>
          <w:sz w:val="21"/>
          <w:szCs w:val="21"/>
        </w:rPr>
        <w:t>项目牵头人。</w:t>
      </w:r>
    </w:p>
    <w:p w14:paraId="7803D6BD">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2.联合体牵头人合法代表联合体各成员负责本项目</w:t>
      </w:r>
      <w:r>
        <w:rPr>
          <w:rFonts w:hint="eastAsia" w:ascii="仿宋" w:hAnsi="仿宋" w:eastAsia="仿宋" w:cs="仿宋"/>
          <w:sz w:val="21"/>
          <w:szCs w:val="21"/>
          <w:lang w:val="en-US" w:eastAsia="zh-CN"/>
        </w:rPr>
        <w:t>响应文件</w:t>
      </w:r>
      <w:r>
        <w:rPr>
          <w:rFonts w:hint="eastAsia" w:ascii="仿宋" w:hAnsi="仿宋" w:eastAsia="仿宋" w:cs="仿宋"/>
          <w:sz w:val="21"/>
          <w:szCs w:val="21"/>
        </w:rPr>
        <w:t>编制和合同谈判活动，并代表联合体提交和接收相关的资料、信息及指示，并处理与之有关的一切事务，负责合同实施阶段的主办、组织和协调工作。</w:t>
      </w:r>
    </w:p>
    <w:p w14:paraId="14079B25">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3.联合体将严格按照</w:t>
      </w:r>
      <w:r>
        <w:rPr>
          <w:rFonts w:hint="eastAsia" w:ascii="仿宋" w:hAnsi="仿宋" w:eastAsia="仿宋" w:cs="仿宋"/>
          <w:sz w:val="21"/>
          <w:szCs w:val="21"/>
          <w:lang w:val="en-US" w:eastAsia="zh-CN"/>
        </w:rPr>
        <w:t>磋商文件</w:t>
      </w:r>
      <w:r>
        <w:rPr>
          <w:rFonts w:hint="eastAsia" w:ascii="仿宋" w:hAnsi="仿宋" w:eastAsia="仿宋" w:cs="仿宋"/>
          <w:sz w:val="21"/>
          <w:szCs w:val="21"/>
        </w:rPr>
        <w:t>的各项要求，递交</w:t>
      </w:r>
      <w:r>
        <w:rPr>
          <w:rFonts w:hint="eastAsia" w:ascii="仿宋" w:hAnsi="仿宋" w:eastAsia="仿宋" w:cs="仿宋"/>
          <w:sz w:val="21"/>
          <w:szCs w:val="21"/>
          <w:lang w:val="en-US" w:eastAsia="zh-CN"/>
        </w:rPr>
        <w:t>响应文件</w:t>
      </w:r>
      <w:r>
        <w:rPr>
          <w:rFonts w:hint="eastAsia" w:ascii="仿宋" w:hAnsi="仿宋" w:eastAsia="仿宋" w:cs="仿宋"/>
          <w:sz w:val="21"/>
          <w:szCs w:val="21"/>
        </w:rPr>
        <w:t>，履行</w:t>
      </w:r>
      <w:r>
        <w:rPr>
          <w:rFonts w:hint="eastAsia" w:ascii="仿宋" w:hAnsi="仿宋" w:eastAsia="仿宋" w:cs="仿宋"/>
          <w:sz w:val="21"/>
          <w:szCs w:val="21"/>
          <w:lang w:val="en-US" w:eastAsia="zh-CN"/>
        </w:rPr>
        <w:t>响应</w:t>
      </w:r>
      <w:r>
        <w:rPr>
          <w:rFonts w:hint="eastAsia" w:ascii="仿宋" w:hAnsi="仿宋" w:eastAsia="仿宋" w:cs="仿宋"/>
          <w:sz w:val="21"/>
          <w:szCs w:val="21"/>
        </w:rPr>
        <w:t>义务和</w:t>
      </w:r>
      <w:r>
        <w:rPr>
          <w:rFonts w:hint="eastAsia" w:ascii="仿宋" w:hAnsi="仿宋" w:eastAsia="仿宋" w:cs="仿宋"/>
          <w:sz w:val="21"/>
          <w:szCs w:val="21"/>
          <w:lang w:val="en-US" w:eastAsia="zh-CN"/>
        </w:rPr>
        <w:t>成交</w:t>
      </w:r>
      <w:r>
        <w:rPr>
          <w:rFonts w:hint="eastAsia" w:ascii="仿宋" w:hAnsi="仿宋" w:eastAsia="仿宋" w:cs="仿宋"/>
          <w:sz w:val="21"/>
          <w:szCs w:val="21"/>
        </w:rPr>
        <w:t>后的合同，共同承担合同规定的一切义务和责任，联合体所有成员单位按照内部职责的分工，承担各自所负的责任和风险，并向</w:t>
      </w:r>
      <w:r>
        <w:rPr>
          <w:rFonts w:hint="eastAsia" w:ascii="仿宋" w:hAnsi="仿宋" w:eastAsia="仿宋" w:cs="仿宋"/>
          <w:sz w:val="21"/>
          <w:szCs w:val="21"/>
          <w:lang w:val="en-US" w:eastAsia="zh-CN"/>
        </w:rPr>
        <w:t>采购</w:t>
      </w:r>
      <w:r>
        <w:rPr>
          <w:rFonts w:hint="eastAsia" w:ascii="仿宋" w:hAnsi="仿宋" w:eastAsia="仿宋" w:cs="仿宋"/>
          <w:sz w:val="21"/>
          <w:szCs w:val="21"/>
        </w:rPr>
        <w:t>人承担连带责任。</w:t>
      </w:r>
    </w:p>
    <w:p w14:paraId="34F3840D">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kern w:val="0"/>
          <w:sz w:val="21"/>
          <w:szCs w:val="21"/>
        </w:rPr>
        <w:t>联合体所有成员单位内部的职责分工如下：</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w:t>
      </w:r>
    </w:p>
    <w:p w14:paraId="093A431C">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5.</w:t>
      </w:r>
      <w:r>
        <w:rPr>
          <w:rFonts w:hint="eastAsia" w:ascii="仿宋" w:hAnsi="仿宋" w:eastAsia="仿宋" w:cs="仿宋"/>
          <w:sz w:val="21"/>
          <w:szCs w:val="21"/>
          <w:lang w:val="en-US" w:eastAsia="zh-CN"/>
        </w:rPr>
        <w:t>磋商</w:t>
      </w:r>
      <w:r>
        <w:rPr>
          <w:rFonts w:hint="eastAsia" w:ascii="仿宋" w:hAnsi="仿宋" w:eastAsia="仿宋" w:cs="仿宋"/>
          <w:sz w:val="21"/>
          <w:szCs w:val="21"/>
        </w:rPr>
        <w:t>工作和联合体在</w:t>
      </w:r>
      <w:r>
        <w:rPr>
          <w:rFonts w:hint="eastAsia" w:ascii="仿宋" w:hAnsi="仿宋" w:eastAsia="仿宋" w:cs="仿宋"/>
          <w:sz w:val="21"/>
          <w:szCs w:val="21"/>
          <w:lang w:val="en-US" w:eastAsia="zh-CN"/>
        </w:rPr>
        <w:t>成交</w:t>
      </w:r>
      <w:r>
        <w:rPr>
          <w:rFonts w:hint="eastAsia" w:ascii="仿宋" w:hAnsi="仿宋" w:eastAsia="仿宋" w:cs="仿宋"/>
          <w:sz w:val="21"/>
          <w:szCs w:val="21"/>
        </w:rPr>
        <w:t>后工程实施过程中的有关费用按各自承担的工作量分摊。</w:t>
      </w:r>
    </w:p>
    <w:p w14:paraId="1B74FB6A">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6.联合体</w:t>
      </w:r>
      <w:r>
        <w:rPr>
          <w:rFonts w:hint="eastAsia" w:ascii="仿宋" w:hAnsi="仿宋" w:eastAsia="仿宋" w:cs="仿宋"/>
          <w:sz w:val="21"/>
          <w:szCs w:val="21"/>
          <w:lang w:val="en-US" w:eastAsia="zh-CN"/>
        </w:rPr>
        <w:t>成交</w:t>
      </w:r>
      <w:r>
        <w:rPr>
          <w:rFonts w:hint="eastAsia" w:ascii="仿宋" w:hAnsi="仿宋" w:eastAsia="仿宋" w:cs="仿宋"/>
          <w:sz w:val="21"/>
          <w:szCs w:val="21"/>
        </w:rPr>
        <w:t>后，联合体协议是合同的附件，对联合体所有成员单位有合同约束力。</w:t>
      </w:r>
    </w:p>
    <w:p w14:paraId="5F2F2421">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7.本协议书自签署之日起生效，联合体未</w:t>
      </w:r>
      <w:r>
        <w:rPr>
          <w:rFonts w:hint="eastAsia" w:ascii="仿宋" w:hAnsi="仿宋" w:eastAsia="仿宋" w:cs="仿宋"/>
          <w:sz w:val="21"/>
          <w:szCs w:val="21"/>
          <w:lang w:val="en-US" w:eastAsia="zh-CN"/>
        </w:rPr>
        <w:t>成交</w:t>
      </w:r>
      <w:r>
        <w:rPr>
          <w:rFonts w:hint="eastAsia" w:ascii="仿宋" w:hAnsi="仿宋" w:eastAsia="仿宋" w:cs="仿宋"/>
          <w:sz w:val="21"/>
          <w:szCs w:val="21"/>
        </w:rPr>
        <w:t>或者</w:t>
      </w:r>
      <w:r>
        <w:rPr>
          <w:rFonts w:hint="eastAsia" w:ascii="仿宋" w:hAnsi="仿宋" w:eastAsia="仿宋" w:cs="仿宋"/>
          <w:sz w:val="21"/>
          <w:szCs w:val="21"/>
          <w:lang w:val="en-US" w:eastAsia="zh-CN"/>
        </w:rPr>
        <w:t>成交</w:t>
      </w:r>
      <w:r>
        <w:rPr>
          <w:rFonts w:hint="eastAsia" w:ascii="仿宋" w:hAnsi="仿宋" w:eastAsia="仿宋" w:cs="仿宋"/>
          <w:sz w:val="21"/>
          <w:szCs w:val="21"/>
        </w:rPr>
        <w:t xml:space="preserve">时合同履行完毕后自动失效。 </w:t>
      </w:r>
    </w:p>
    <w:p w14:paraId="4E985589">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8.本协议书一式</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份，联合体所有成员和</w:t>
      </w:r>
      <w:r>
        <w:rPr>
          <w:rFonts w:hint="eastAsia" w:ascii="仿宋" w:hAnsi="仿宋" w:eastAsia="仿宋" w:cs="仿宋"/>
          <w:sz w:val="21"/>
          <w:szCs w:val="21"/>
          <w:lang w:val="en-US" w:eastAsia="zh-CN"/>
        </w:rPr>
        <w:t>采购</w:t>
      </w:r>
      <w:r>
        <w:rPr>
          <w:rFonts w:hint="eastAsia" w:ascii="仿宋" w:hAnsi="仿宋" w:eastAsia="仿宋" w:cs="仿宋"/>
          <w:sz w:val="21"/>
          <w:szCs w:val="21"/>
        </w:rPr>
        <w:t>人各执一份。</w:t>
      </w:r>
    </w:p>
    <w:p w14:paraId="390CE024">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注：本协议书由委托代理人签字的，应附法定代表人签字的授权委托书。</w:t>
      </w:r>
    </w:p>
    <w:p w14:paraId="6EB4EBF2">
      <w:pPr>
        <w:topLinePunct/>
        <w:spacing w:line="360" w:lineRule="auto"/>
        <w:ind w:firstLine="420" w:firstLineChars="200"/>
        <w:outlineLvl w:val="9"/>
        <w:rPr>
          <w:rFonts w:hint="eastAsia" w:ascii="仿宋" w:hAnsi="仿宋" w:eastAsia="仿宋" w:cs="仿宋"/>
          <w:sz w:val="21"/>
          <w:szCs w:val="21"/>
        </w:rPr>
      </w:pPr>
    </w:p>
    <w:p w14:paraId="568C2E2D">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 xml:space="preserve">牵头人名称： </w:t>
      </w:r>
      <w:r>
        <w:rPr>
          <w:rFonts w:hint="eastAsia" w:ascii="仿宋" w:hAnsi="仿宋" w:eastAsia="仿宋" w:cs="仿宋"/>
          <w:sz w:val="21"/>
          <w:szCs w:val="21"/>
          <w:u w:val="single"/>
        </w:rPr>
        <w:t xml:space="preserve">                            </w:t>
      </w:r>
      <w:r>
        <w:rPr>
          <w:rFonts w:hint="eastAsia" w:ascii="仿宋" w:hAnsi="仿宋" w:eastAsia="仿宋" w:cs="仿宋"/>
          <w:sz w:val="21"/>
          <w:szCs w:val="21"/>
        </w:rPr>
        <w:t>（盖章）</w:t>
      </w:r>
    </w:p>
    <w:p w14:paraId="4DE14E6F">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法定代表人或</w:t>
      </w:r>
    </w:p>
    <w:p w14:paraId="57CD4CFD">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其委托代理人：</w:t>
      </w:r>
      <w:r>
        <w:rPr>
          <w:rFonts w:hint="eastAsia" w:ascii="仿宋" w:hAnsi="仿宋" w:eastAsia="仿宋" w:cs="仿宋"/>
          <w:sz w:val="21"/>
          <w:szCs w:val="21"/>
          <w:u w:val="single"/>
        </w:rPr>
        <w:t xml:space="preserve">                           </w:t>
      </w:r>
      <w:r>
        <w:rPr>
          <w:rFonts w:hint="eastAsia" w:ascii="仿宋" w:hAnsi="仿宋" w:eastAsia="仿宋" w:cs="仿宋"/>
          <w:sz w:val="21"/>
          <w:szCs w:val="21"/>
        </w:rPr>
        <w:t>（签字或盖章）</w:t>
      </w:r>
    </w:p>
    <w:p w14:paraId="41532E17">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成员1名称：</w:t>
      </w:r>
      <w:r>
        <w:rPr>
          <w:rFonts w:hint="eastAsia" w:ascii="仿宋" w:hAnsi="仿宋" w:eastAsia="仿宋" w:cs="仿宋"/>
          <w:sz w:val="21"/>
          <w:szCs w:val="21"/>
          <w:u w:val="single"/>
        </w:rPr>
        <w:t xml:space="preserve">                             </w:t>
      </w:r>
      <w:r>
        <w:rPr>
          <w:rFonts w:hint="eastAsia" w:ascii="仿宋" w:hAnsi="仿宋" w:eastAsia="仿宋" w:cs="仿宋"/>
          <w:sz w:val="21"/>
          <w:szCs w:val="21"/>
        </w:rPr>
        <w:t>（盖章）</w:t>
      </w:r>
    </w:p>
    <w:p w14:paraId="3E641FAF">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法定代表人或</w:t>
      </w:r>
    </w:p>
    <w:p w14:paraId="4CA61BBF">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其委托代理人：</w:t>
      </w:r>
      <w:r>
        <w:rPr>
          <w:rFonts w:hint="eastAsia" w:ascii="仿宋" w:hAnsi="仿宋" w:eastAsia="仿宋" w:cs="仿宋"/>
          <w:sz w:val="21"/>
          <w:szCs w:val="21"/>
          <w:u w:val="single"/>
        </w:rPr>
        <w:t xml:space="preserve">                           </w:t>
      </w:r>
      <w:r>
        <w:rPr>
          <w:rFonts w:hint="eastAsia" w:ascii="仿宋" w:hAnsi="仿宋" w:eastAsia="仿宋" w:cs="仿宋"/>
          <w:sz w:val="21"/>
          <w:szCs w:val="21"/>
        </w:rPr>
        <w:t>（签字或盖章）</w:t>
      </w:r>
    </w:p>
    <w:p w14:paraId="6DEDDABD">
      <w:pPr>
        <w:topLinePunct/>
        <w:spacing w:line="360" w:lineRule="auto"/>
        <w:ind w:firstLine="420" w:firstLineChars="200"/>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p w14:paraId="25FCC985">
      <w:pPr>
        <w:topLinePunct/>
        <w:spacing w:line="360" w:lineRule="auto"/>
        <w:ind w:firstLine="420" w:firstLineChars="200"/>
        <w:outlineLvl w:val="9"/>
        <w:rPr>
          <w:rFonts w:hint="eastAsia" w:ascii="仿宋" w:hAnsi="仿宋" w:eastAsia="仿宋" w:cs="仿宋"/>
          <w:sz w:val="21"/>
          <w:szCs w:val="21"/>
        </w:rPr>
      </w:pPr>
      <w:r>
        <w:rPr>
          <w:rFonts w:hint="eastAsia" w:ascii="仿宋" w:hAnsi="仿宋" w:eastAsia="仿宋" w:cs="仿宋"/>
          <w:sz w:val="21"/>
          <w:szCs w:val="21"/>
        </w:rPr>
        <w:t>日     期：</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w:t>
      </w:r>
    </w:p>
    <w:p w14:paraId="4862A47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仿宋" w:hAnsi="仿宋" w:eastAsia="仿宋" w:cs="仿宋"/>
          <w:b/>
          <w:bCs/>
          <w:sz w:val="36"/>
          <w:szCs w:val="44"/>
          <w:lang w:val="en-US" w:eastAsia="zh-CN"/>
        </w:rPr>
      </w:pPr>
    </w:p>
    <w:sectPr>
      <w:headerReference r:id="rId5" w:type="default"/>
      <w:footerReference r:id="rId6" w:type="default"/>
      <w:pgSz w:w="11906" w:h="16838"/>
      <w:pgMar w:top="1440" w:right="1440" w:bottom="1440" w:left="144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skerville Old Face">
    <w:altName w:val="Segoe Print"/>
    <w:panose1 w:val="020206020805050203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Ђ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D45E">
    <w:pPr>
      <w:pStyle w:val="21"/>
      <w:tabs>
        <w:tab w:val="center" w:pos="4153"/>
        <w:tab w:val="right" w:pos="8306"/>
      </w:tabs>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41747A4">
                          <w:pPr>
                            <w:pStyle w:val="21"/>
                            <w:tabs>
                              <w:tab w:val="center" w:pos="4153"/>
                              <w:tab w:val="right" w:pos="8306"/>
                            </w:tabs>
                            <w:ind w:firstLine="360"/>
                          </w:pPr>
                          <w:r>
                            <w:fldChar w:fldCharType="begin"/>
                          </w:r>
                          <w:r>
                            <w:instrText xml:space="preserve"> PAGE  \* MERGEFORMAT </w:instrText>
                          </w:r>
                          <w:r>
                            <w:fldChar w:fldCharType="separate"/>
                          </w:r>
                          <w:r>
                            <w:t>48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41747A4">
                    <w:pPr>
                      <w:pStyle w:val="21"/>
                      <w:tabs>
                        <w:tab w:val="center" w:pos="4153"/>
                        <w:tab w:val="right" w:pos="8306"/>
                      </w:tabs>
                      <w:ind w:firstLine="360"/>
                    </w:pPr>
                    <w:r>
                      <w:fldChar w:fldCharType="begin"/>
                    </w:r>
                    <w:r>
                      <w:instrText xml:space="preserve"> PAGE  \* MERGEFORMAT </w:instrText>
                    </w:r>
                    <w:r>
                      <w:fldChar w:fldCharType="separate"/>
                    </w:r>
                    <w:r>
                      <w:t>48</w:t>
                    </w:r>
                    <w:r>
                      <w:fldChar w:fldCharType="end"/>
                    </w:r>
                  </w:p>
                </w:txbxContent>
              </v:textbox>
            </v:shape>
          </w:pict>
        </mc:Fallback>
      </mc:AlternateContent>
    </w:r>
  </w:p>
  <w:p w14:paraId="6DC2F58C">
    <w:pPr>
      <w:pStyle w:val="21"/>
      <w:tabs>
        <w:tab w:val="center" w:pos="4153"/>
        <w:tab w:val="right" w:pos="8306"/>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94DAA">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387126">
                          <w:pPr>
                            <w:pStyle w:val="2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7Qo4MkBAACZ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DtCjgyQEAAJkDAAAOAAAAAAAAAAEAIAAAAB4BAABkcnMvZTJvRG9j&#10;LnhtbFBLBQYAAAAABgAGAFkBAABZBQAAAAA=&#10;">
              <v:fill on="f" focussize="0,0"/>
              <v:stroke on="f"/>
              <v:imagedata o:title=""/>
              <o:lock v:ext="edit" aspectratio="f"/>
              <v:textbox inset="0mm,0mm,0mm,0mm" style="mso-fit-shape-to-text:t;">
                <w:txbxContent>
                  <w:p w14:paraId="27387126">
                    <w:pPr>
                      <w:pStyle w:val="2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43225">
    <w:pPr>
      <w:pStyle w:val="22"/>
      <w:pBdr>
        <w:bottom w:val="none" w:color="auto" w:sz="0" w:space="1"/>
      </w:pBdr>
      <w:ind w:firstLine="36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93AC7">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62A03"/>
    <w:multiLevelType w:val="singleLevel"/>
    <w:tmpl w:val="42962A03"/>
    <w:lvl w:ilvl="0" w:tentative="0">
      <w:start w:val="1"/>
      <w:numFmt w:val="decimal"/>
      <w:suff w:val="space"/>
      <w:lvlText w:val="%1."/>
      <w:lvlJc w:val="left"/>
    </w:lvl>
  </w:abstractNum>
  <w:abstractNum w:abstractNumId="1">
    <w:nsid w:val="66F15560"/>
    <w:multiLevelType w:val="singleLevel"/>
    <w:tmpl w:val="66F15560"/>
    <w:lvl w:ilvl="0" w:tentative="0">
      <w:start w:val="16"/>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ZTg5MDRhNzA3ZDhhMmFlMDBlYzM2MjBmMjUwZjgifQ=="/>
  </w:docVars>
  <w:rsids>
    <w:rsidRoot w:val="00C60A2E"/>
    <w:rsid w:val="000000BD"/>
    <w:rsid w:val="00002CD1"/>
    <w:rsid w:val="000101CC"/>
    <w:rsid w:val="00010ADC"/>
    <w:rsid w:val="00015280"/>
    <w:rsid w:val="000154E3"/>
    <w:rsid w:val="000235EF"/>
    <w:rsid w:val="00023644"/>
    <w:rsid w:val="0002387E"/>
    <w:rsid w:val="00024DED"/>
    <w:rsid w:val="00030D10"/>
    <w:rsid w:val="00031506"/>
    <w:rsid w:val="000470AC"/>
    <w:rsid w:val="00047A55"/>
    <w:rsid w:val="00047B79"/>
    <w:rsid w:val="000522C1"/>
    <w:rsid w:val="00052D4F"/>
    <w:rsid w:val="00053231"/>
    <w:rsid w:val="00057A6D"/>
    <w:rsid w:val="00060B87"/>
    <w:rsid w:val="000611B2"/>
    <w:rsid w:val="00061C24"/>
    <w:rsid w:val="00073B0D"/>
    <w:rsid w:val="000757ED"/>
    <w:rsid w:val="000759B4"/>
    <w:rsid w:val="00076305"/>
    <w:rsid w:val="00076A35"/>
    <w:rsid w:val="00082CA4"/>
    <w:rsid w:val="00083282"/>
    <w:rsid w:val="00085175"/>
    <w:rsid w:val="00085C7E"/>
    <w:rsid w:val="0008645A"/>
    <w:rsid w:val="00092B5D"/>
    <w:rsid w:val="000942BB"/>
    <w:rsid w:val="000A1358"/>
    <w:rsid w:val="000A230E"/>
    <w:rsid w:val="000A2E3C"/>
    <w:rsid w:val="000A416B"/>
    <w:rsid w:val="000B4BBE"/>
    <w:rsid w:val="000B53B0"/>
    <w:rsid w:val="000C0814"/>
    <w:rsid w:val="000C373C"/>
    <w:rsid w:val="000C5395"/>
    <w:rsid w:val="000D235E"/>
    <w:rsid w:val="000D2757"/>
    <w:rsid w:val="000D5711"/>
    <w:rsid w:val="000D71FB"/>
    <w:rsid w:val="000E5267"/>
    <w:rsid w:val="000F37E9"/>
    <w:rsid w:val="00100121"/>
    <w:rsid w:val="0010173D"/>
    <w:rsid w:val="00103313"/>
    <w:rsid w:val="001040F0"/>
    <w:rsid w:val="0010432E"/>
    <w:rsid w:val="00104BE7"/>
    <w:rsid w:val="001071CB"/>
    <w:rsid w:val="00110D90"/>
    <w:rsid w:val="00110DD3"/>
    <w:rsid w:val="00113949"/>
    <w:rsid w:val="00115A84"/>
    <w:rsid w:val="0012239D"/>
    <w:rsid w:val="001223CE"/>
    <w:rsid w:val="00125E01"/>
    <w:rsid w:val="00125F50"/>
    <w:rsid w:val="00127E6E"/>
    <w:rsid w:val="00135DB6"/>
    <w:rsid w:val="0013605C"/>
    <w:rsid w:val="001403EC"/>
    <w:rsid w:val="0014250F"/>
    <w:rsid w:val="001437FD"/>
    <w:rsid w:val="001509B5"/>
    <w:rsid w:val="001532EB"/>
    <w:rsid w:val="00161D54"/>
    <w:rsid w:val="001645FD"/>
    <w:rsid w:val="00167B78"/>
    <w:rsid w:val="00170FF4"/>
    <w:rsid w:val="00172BFC"/>
    <w:rsid w:val="001738C2"/>
    <w:rsid w:val="001754B3"/>
    <w:rsid w:val="00177568"/>
    <w:rsid w:val="00177AF5"/>
    <w:rsid w:val="00181E9E"/>
    <w:rsid w:val="00182582"/>
    <w:rsid w:val="001866C4"/>
    <w:rsid w:val="0019005E"/>
    <w:rsid w:val="001903C6"/>
    <w:rsid w:val="001A2082"/>
    <w:rsid w:val="001A5E2E"/>
    <w:rsid w:val="001A642A"/>
    <w:rsid w:val="001A6FA7"/>
    <w:rsid w:val="001A71B4"/>
    <w:rsid w:val="001B6A0C"/>
    <w:rsid w:val="001C3A81"/>
    <w:rsid w:val="001C5CFA"/>
    <w:rsid w:val="001C734B"/>
    <w:rsid w:val="001C7DA9"/>
    <w:rsid w:val="001D739E"/>
    <w:rsid w:val="001E1B6B"/>
    <w:rsid w:val="001E2B80"/>
    <w:rsid w:val="001E385C"/>
    <w:rsid w:val="001E43DB"/>
    <w:rsid w:val="001E597F"/>
    <w:rsid w:val="001F7F16"/>
    <w:rsid w:val="00200349"/>
    <w:rsid w:val="00202C1D"/>
    <w:rsid w:val="0020386D"/>
    <w:rsid w:val="00203C3F"/>
    <w:rsid w:val="00205C9E"/>
    <w:rsid w:val="0020705E"/>
    <w:rsid w:val="00207FE0"/>
    <w:rsid w:val="00211446"/>
    <w:rsid w:val="002140D2"/>
    <w:rsid w:val="0021438C"/>
    <w:rsid w:val="00216717"/>
    <w:rsid w:val="00224CF4"/>
    <w:rsid w:val="00226713"/>
    <w:rsid w:val="002306DC"/>
    <w:rsid w:val="00233B64"/>
    <w:rsid w:val="00240BE5"/>
    <w:rsid w:val="002416AF"/>
    <w:rsid w:val="0024261D"/>
    <w:rsid w:val="00242E33"/>
    <w:rsid w:val="00246A5D"/>
    <w:rsid w:val="00247111"/>
    <w:rsid w:val="00252042"/>
    <w:rsid w:val="00253917"/>
    <w:rsid w:val="002572F3"/>
    <w:rsid w:val="00262B91"/>
    <w:rsid w:val="0026309D"/>
    <w:rsid w:val="00263395"/>
    <w:rsid w:val="002643D8"/>
    <w:rsid w:val="00271341"/>
    <w:rsid w:val="002715E4"/>
    <w:rsid w:val="0027439C"/>
    <w:rsid w:val="0027451A"/>
    <w:rsid w:val="0028014B"/>
    <w:rsid w:val="002851EA"/>
    <w:rsid w:val="00291789"/>
    <w:rsid w:val="00292611"/>
    <w:rsid w:val="002A1631"/>
    <w:rsid w:val="002A3C25"/>
    <w:rsid w:val="002A4130"/>
    <w:rsid w:val="002A4842"/>
    <w:rsid w:val="002A5F4F"/>
    <w:rsid w:val="002A76FC"/>
    <w:rsid w:val="002A7B94"/>
    <w:rsid w:val="002B4F69"/>
    <w:rsid w:val="002B5C45"/>
    <w:rsid w:val="002C066A"/>
    <w:rsid w:val="002C07E9"/>
    <w:rsid w:val="002C13F6"/>
    <w:rsid w:val="002C15C0"/>
    <w:rsid w:val="002C3705"/>
    <w:rsid w:val="002D586E"/>
    <w:rsid w:val="002D5AB5"/>
    <w:rsid w:val="002D6EDD"/>
    <w:rsid w:val="002D7AF7"/>
    <w:rsid w:val="002E4992"/>
    <w:rsid w:val="002E5122"/>
    <w:rsid w:val="002E513F"/>
    <w:rsid w:val="002E7D0F"/>
    <w:rsid w:val="002F31A8"/>
    <w:rsid w:val="0030025B"/>
    <w:rsid w:val="00300682"/>
    <w:rsid w:val="00301E1A"/>
    <w:rsid w:val="00302094"/>
    <w:rsid w:val="0030713B"/>
    <w:rsid w:val="00307F97"/>
    <w:rsid w:val="00312493"/>
    <w:rsid w:val="00313BF4"/>
    <w:rsid w:val="003147ED"/>
    <w:rsid w:val="00314B79"/>
    <w:rsid w:val="00315C45"/>
    <w:rsid w:val="00315C8A"/>
    <w:rsid w:val="003166B5"/>
    <w:rsid w:val="00316B2A"/>
    <w:rsid w:val="00320977"/>
    <w:rsid w:val="00320F97"/>
    <w:rsid w:val="003218AC"/>
    <w:rsid w:val="0032576D"/>
    <w:rsid w:val="00326835"/>
    <w:rsid w:val="00333C8E"/>
    <w:rsid w:val="00334C59"/>
    <w:rsid w:val="0034089D"/>
    <w:rsid w:val="00342659"/>
    <w:rsid w:val="00350974"/>
    <w:rsid w:val="003526D3"/>
    <w:rsid w:val="00356785"/>
    <w:rsid w:val="00360043"/>
    <w:rsid w:val="00360231"/>
    <w:rsid w:val="00362F2D"/>
    <w:rsid w:val="00363AC4"/>
    <w:rsid w:val="00364704"/>
    <w:rsid w:val="003710B3"/>
    <w:rsid w:val="003745FE"/>
    <w:rsid w:val="00374933"/>
    <w:rsid w:val="0037687A"/>
    <w:rsid w:val="00376933"/>
    <w:rsid w:val="00381147"/>
    <w:rsid w:val="00382D6E"/>
    <w:rsid w:val="00383E15"/>
    <w:rsid w:val="00384E5F"/>
    <w:rsid w:val="00386A24"/>
    <w:rsid w:val="0039059F"/>
    <w:rsid w:val="00394D5D"/>
    <w:rsid w:val="00395B5A"/>
    <w:rsid w:val="00396C93"/>
    <w:rsid w:val="003A06CA"/>
    <w:rsid w:val="003A0EF1"/>
    <w:rsid w:val="003A1AF0"/>
    <w:rsid w:val="003A4047"/>
    <w:rsid w:val="003A56AE"/>
    <w:rsid w:val="003A56F9"/>
    <w:rsid w:val="003B179E"/>
    <w:rsid w:val="003B30B5"/>
    <w:rsid w:val="003B375A"/>
    <w:rsid w:val="003B4FF7"/>
    <w:rsid w:val="003B732E"/>
    <w:rsid w:val="003C410D"/>
    <w:rsid w:val="003C5799"/>
    <w:rsid w:val="003C5A9E"/>
    <w:rsid w:val="003C5ED8"/>
    <w:rsid w:val="003C6EC3"/>
    <w:rsid w:val="003D02A5"/>
    <w:rsid w:val="003D1502"/>
    <w:rsid w:val="003D16B9"/>
    <w:rsid w:val="003D512A"/>
    <w:rsid w:val="003D77F7"/>
    <w:rsid w:val="003E1878"/>
    <w:rsid w:val="003E2251"/>
    <w:rsid w:val="003E256E"/>
    <w:rsid w:val="003E3A59"/>
    <w:rsid w:val="003E4AD8"/>
    <w:rsid w:val="003E76B7"/>
    <w:rsid w:val="003F0843"/>
    <w:rsid w:val="003F191A"/>
    <w:rsid w:val="003F57E3"/>
    <w:rsid w:val="004008F3"/>
    <w:rsid w:val="0040174A"/>
    <w:rsid w:val="00401F72"/>
    <w:rsid w:val="00403F3C"/>
    <w:rsid w:val="0040447C"/>
    <w:rsid w:val="004046B5"/>
    <w:rsid w:val="00406083"/>
    <w:rsid w:val="00407205"/>
    <w:rsid w:val="0041219A"/>
    <w:rsid w:val="00412E22"/>
    <w:rsid w:val="00413062"/>
    <w:rsid w:val="0041393E"/>
    <w:rsid w:val="00417311"/>
    <w:rsid w:val="00421E43"/>
    <w:rsid w:val="00427382"/>
    <w:rsid w:val="00431C7F"/>
    <w:rsid w:val="00436D3A"/>
    <w:rsid w:val="00442031"/>
    <w:rsid w:val="004442E5"/>
    <w:rsid w:val="00447BB4"/>
    <w:rsid w:val="0045003A"/>
    <w:rsid w:val="00453198"/>
    <w:rsid w:val="00464C19"/>
    <w:rsid w:val="00466CCD"/>
    <w:rsid w:val="00467A8D"/>
    <w:rsid w:val="0047003B"/>
    <w:rsid w:val="0047182C"/>
    <w:rsid w:val="00471AB8"/>
    <w:rsid w:val="00472F07"/>
    <w:rsid w:val="004741CC"/>
    <w:rsid w:val="004754A0"/>
    <w:rsid w:val="00481B27"/>
    <w:rsid w:val="00481DB5"/>
    <w:rsid w:val="00486525"/>
    <w:rsid w:val="00486E4F"/>
    <w:rsid w:val="004915CF"/>
    <w:rsid w:val="00492ACB"/>
    <w:rsid w:val="004A0E93"/>
    <w:rsid w:val="004A3FB4"/>
    <w:rsid w:val="004A53BE"/>
    <w:rsid w:val="004B1E5C"/>
    <w:rsid w:val="004C21EC"/>
    <w:rsid w:val="004C2CD3"/>
    <w:rsid w:val="004C2DDA"/>
    <w:rsid w:val="004C3062"/>
    <w:rsid w:val="004C6755"/>
    <w:rsid w:val="004C6CF9"/>
    <w:rsid w:val="004C74D6"/>
    <w:rsid w:val="004D3E5C"/>
    <w:rsid w:val="004D55EC"/>
    <w:rsid w:val="004D61E6"/>
    <w:rsid w:val="004D6C17"/>
    <w:rsid w:val="004E05FD"/>
    <w:rsid w:val="004E3897"/>
    <w:rsid w:val="004E40DF"/>
    <w:rsid w:val="004F0B89"/>
    <w:rsid w:val="004F251A"/>
    <w:rsid w:val="004F3B63"/>
    <w:rsid w:val="004F5D84"/>
    <w:rsid w:val="00502689"/>
    <w:rsid w:val="005029BD"/>
    <w:rsid w:val="00505D94"/>
    <w:rsid w:val="005114F2"/>
    <w:rsid w:val="005120CC"/>
    <w:rsid w:val="00514A25"/>
    <w:rsid w:val="00525098"/>
    <w:rsid w:val="005272EC"/>
    <w:rsid w:val="00527436"/>
    <w:rsid w:val="00533492"/>
    <w:rsid w:val="00535EDC"/>
    <w:rsid w:val="00542F54"/>
    <w:rsid w:val="00544D51"/>
    <w:rsid w:val="0054571C"/>
    <w:rsid w:val="005467B7"/>
    <w:rsid w:val="005472AA"/>
    <w:rsid w:val="00552434"/>
    <w:rsid w:val="00553776"/>
    <w:rsid w:val="00556CC5"/>
    <w:rsid w:val="005605EA"/>
    <w:rsid w:val="00561226"/>
    <w:rsid w:val="0056175F"/>
    <w:rsid w:val="005628C0"/>
    <w:rsid w:val="00566E74"/>
    <w:rsid w:val="00567A26"/>
    <w:rsid w:val="005702BC"/>
    <w:rsid w:val="00573440"/>
    <w:rsid w:val="005745E2"/>
    <w:rsid w:val="00577054"/>
    <w:rsid w:val="00577452"/>
    <w:rsid w:val="0057767F"/>
    <w:rsid w:val="005800AD"/>
    <w:rsid w:val="0058297F"/>
    <w:rsid w:val="00584C1F"/>
    <w:rsid w:val="00585830"/>
    <w:rsid w:val="00585C2D"/>
    <w:rsid w:val="00586783"/>
    <w:rsid w:val="005924B8"/>
    <w:rsid w:val="00596F7F"/>
    <w:rsid w:val="005A3C8C"/>
    <w:rsid w:val="005A63AD"/>
    <w:rsid w:val="005A67BB"/>
    <w:rsid w:val="005B577D"/>
    <w:rsid w:val="005C0F2E"/>
    <w:rsid w:val="005C4520"/>
    <w:rsid w:val="005C65B9"/>
    <w:rsid w:val="005D2B24"/>
    <w:rsid w:val="005E02B9"/>
    <w:rsid w:val="005E2ED2"/>
    <w:rsid w:val="005E4478"/>
    <w:rsid w:val="005E73FA"/>
    <w:rsid w:val="005F14B1"/>
    <w:rsid w:val="005F357D"/>
    <w:rsid w:val="005F3CB0"/>
    <w:rsid w:val="005F4572"/>
    <w:rsid w:val="005F544F"/>
    <w:rsid w:val="00604B1A"/>
    <w:rsid w:val="00604F0B"/>
    <w:rsid w:val="006103FA"/>
    <w:rsid w:val="00611038"/>
    <w:rsid w:val="0061170E"/>
    <w:rsid w:val="00614545"/>
    <w:rsid w:val="0061475A"/>
    <w:rsid w:val="00616FC0"/>
    <w:rsid w:val="00626ABB"/>
    <w:rsid w:val="006359B6"/>
    <w:rsid w:val="00637C3F"/>
    <w:rsid w:val="006413B2"/>
    <w:rsid w:val="00644B79"/>
    <w:rsid w:val="00651BB3"/>
    <w:rsid w:val="00653721"/>
    <w:rsid w:val="00653FB4"/>
    <w:rsid w:val="0066251D"/>
    <w:rsid w:val="00667E0E"/>
    <w:rsid w:val="00674B4F"/>
    <w:rsid w:val="006768C7"/>
    <w:rsid w:val="006804FD"/>
    <w:rsid w:val="00683CEC"/>
    <w:rsid w:val="006869E5"/>
    <w:rsid w:val="00687B65"/>
    <w:rsid w:val="006910C5"/>
    <w:rsid w:val="00692800"/>
    <w:rsid w:val="00696080"/>
    <w:rsid w:val="00696B21"/>
    <w:rsid w:val="00697423"/>
    <w:rsid w:val="006A040C"/>
    <w:rsid w:val="006A5822"/>
    <w:rsid w:val="006A5CE6"/>
    <w:rsid w:val="006A72D0"/>
    <w:rsid w:val="006A7643"/>
    <w:rsid w:val="006B4A25"/>
    <w:rsid w:val="006B5D98"/>
    <w:rsid w:val="006C0575"/>
    <w:rsid w:val="006C5A89"/>
    <w:rsid w:val="006F3A64"/>
    <w:rsid w:val="00701BA9"/>
    <w:rsid w:val="00706D1F"/>
    <w:rsid w:val="00710F7D"/>
    <w:rsid w:val="00711AE6"/>
    <w:rsid w:val="00712268"/>
    <w:rsid w:val="00712E78"/>
    <w:rsid w:val="00724F8A"/>
    <w:rsid w:val="00724FF5"/>
    <w:rsid w:val="00727D41"/>
    <w:rsid w:val="00731360"/>
    <w:rsid w:val="00732E6B"/>
    <w:rsid w:val="00736022"/>
    <w:rsid w:val="00736C4C"/>
    <w:rsid w:val="007436D3"/>
    <w:rsid w:val="00743E04"/>
    <w:rsid w:val="007461BD"/>
    <w:rsid w:val="00746CF7"/>
    <w:rsid w:val="007525A5"/>
    <w:rsid w:val="00756C27"/>
    <w:rsid w:val="00756CE5"/>
    <w:rsid w:val="007651D8"/>
    <w:rsid w:val="00771C0A"/>
    <w:rsid w:val="00771C55"/>
    <w:rsid w:val="00772C75"/>
    <w:rsid w:val="007742DD"/>
    <w:rsid w:val="00777C7E"/>
    <w:rsid w:val="00781634"/>
    <w:rsid w:val="00781FF5"/>
    <w:rsid w:val="00782291"/>
    <w:rsid w:val="0078397B"/>
    <w:rsid w:val="00784665"/>
    <w:rsid w:val="007861B9"/>
    <w:rsid w:val="007876BC"/>
    <w:rsid w:val="00792196"/>
    <w:rsid w:val="00792D9F"/>
    <w:rsid w:val="007958B6"/>
    <w:rsid w:val="00796AFF"/>
    <w:rsid w:val="00796D31"/>
    <w:rsid w:val="00796DD4"/>
    <w:rsid w:val="007A1A35"/>
    <w:rsid w:val="007B1A7D"/>
    <w:rsid w:val="007B48C5"/>
    <w:rsid w:val="007B631C"/>
    <w:rsid w:val="007C063D"/>
    <w:rsid w:val="007C09C3"/>
    <w:rsid w:val="007C1F51"/>
    <w:rsid w:val="007C2CB5"/>
    <w:rsid w:val="007C5E0D"/>
    <w:rsid w:val="007C5E93"/>
    <w:rsid w:val="007D7F5C"/>
    <w:rsid w:val="007E1FE0"/>
    <w:rsid w:val="007E63E7"/>
    <w:rsid w:val="007F1067"/>
    <w:rsid w:val="00804078"/>
    <w:rsid w:val="00804A49"/>
    <w:rsid w:val="008063CC"/>
    <w:rsid w:val="00817086"/>
    <w:rsid w:val="00817377"/>
    <w:rsid w:val="008177C1"/>
    <w:rsid w:val="00823E10"/>
    <w:rsid w:val="008249A9"/>
    <w:rsid w:val="00826473"/>
    <w:rsid w:val="00826C34"/>
    <w:rsid w:val="008304D2"/>
    <w:rsid w:val="00830700"/>
    <w:rsid w:val="00843DF8"/>
    <w:rsid w:val="00845F4B"/>
    <w:rsid w:val="00851BF1"/>
    <w:rsid w:val="008523C6"/>
    <w:rsid w:val="008577F6"/>
    <w:rsid w:val="00864FD0"/>
    <w:rsid w:val="00866562"/>
    <w:rsid w:val="008737BF"/>
    <w:rsid w:val="00873EF0"/>
    <w:rsid w:val="0087445A"/>
    <w:rsid w:val="0088294C"/>
    <w:rsid w:val="008850F2"/>
    <w:rsid w:val="0088776D"/>
    <w:rsid w:val="008951B4"/>
    <w:rsid w:val="00897A4F"/>
    <w:rsid w:val="008A110B"/>
    <w:rsid w:val="008A393C"/>
    <w:rsid w:val="008A539B"/>
    <w:rsid w:val="008B2F7B"/>
    <w:rsid w:val="008B604B"/>
    <w:rsid w:val="008C1EBE"/>
    <w:rsid w:val="008C2AC6"/>
    <w:rsid w:val="008C3836"/>
    <w:rsid w:val="008C5DFB"/>
    <w:rsid w:val="008C6746"/>
    <w:rsid w:val="008C6E90"/>
    <w:rsid w:val="008D5F93"/>
    <w:rsid w:val="008E0EBF"/>
    <w:rsid w:val="008E4779"/>
    <w:rsid w:val="008E7D4B"/>
    <w:rsid w:val="008F10B4"/>
    <w:rsid w:val="0090183E"/>
    <w:rsid w:val="00907A9B"/>
    <w:rsid w:val="009125A0"/>
    <w:rsid w:val="009149AA"/>
    <w:rsid w:val="00915ED4"/>
    <w:rsid w:val="00916107"/>
    <w:rsid w:val="00920DDA"/>
    <w:rsid w:val="009264A7"/>
    <w:rsid w:val="00931039"/>
    <w:rsid w:val="00931C3E"/>
    <w:rsid w:val="00931EAE"/>
    <w:rsid w:val="00932256"/>
    <w:rsid w:val="00932B47"/>
    <w:rsid w:val="00933144"/>
    <w:rsid w:val="009345DB"/>
    <w:rsid w:val="00935084"/>
    <w:rsid w:val="00937D4F"/>
    <w:rsid w:val="00942150"/>
    <w:rsid w:val="0094327B"/>
    <w:rsid w:val="00945337"/>
    <w:rsid w:val="00947DA3"/>
    <w:rsid w:val="009527F0"/>
    <w:rsid w:val="00952EFF"/>
    <w:rsid w:val="00956084"/>
    <w:rsid w:val="0095710F"/>
    <w:rsid w:val="00957430"/>
    <w:rsid w:val="00957454"/>
    <w:rsid w:val="00957BA7"/>
    <w:rsid w:val="00961D49"/>
    <w:rsid w:val="00961DFB"/>
    <w:rsid w:val="00962F8C"/>
    <w:rsid w:val="0096604B"/>
    <w:rsid w:val="00967627"/>
    <w:rsid w:val="009758E6"/>
    <w:rsid w:val="009772D9"/>
    <w:rsid w:val="009816D3"/>
    <w:rsid w:val="009852BD"/>
    <w:rsid w:val="009879D6"/>
    <w:rsid w:val="009916D3"/>
    <w:rsid w:val="0099397B"/>
    <w:rsid w:val="00993B03"/>
    <w:rsid w:val="0099401D"/>
    <w:rsid w:val="00996170"/>
    <w:rsid w:val="00997539"/>
    <w:rsid w:val="009979A5"/>
    <w:rsid w:val="009A18DF"/>
    <w:rsid w:val="009A4013"/>
    <w:rsid w:val="009A46C3"/>
    <w:rsid w:val="009A7B1E"/>
    <w:rsid w:val="009A7CAE"/>
    <w:rsid w:val="009B15FA"/>
    <w:rsid w:val="009B6AD4"/>
    <w:rsid w:val="009B6E77"/>
    <w:rsid w:val="009C2B30"/>
    <w:rsid w:val="009C6B9C"/>
    <w:rsid w:val="009D0F39"/>
    <w:rsid w:val="009D3D45"/>
    <w:rsid w:val="009D6892"/>
    <w:rsid w:val="009D7672"/>
    <w:rsid w:val="009E3A39"/>
    <w:rsid w:val="009E68EA"/>
    <w:rsid w:val="009E777F"/>
    <w:rsid w:val="009F4139"/>
    <w:rsid w:val="009F5451"/>
    <w:rsid w:val="00A05B56"/>
    <w:rsid w:val="00A07CF2"/>
    <w:rsid w:val="00A100F7"/>
    <w:rsid w:val="00A10B53"/>
    <w:rsid w:val="00A123D5"/>
    <w:rsid w:val="00A167E1"/>
    <w:rsid w:val="00A17D05"/>
    <w:rsid w:val="00A219FA"/>
    <w:rsid w:val="00A2351A"/>
    <w:rsid w:val="00A2399B"/>
    <w:rsid w:val="00A255CE"/>
    <w:rsid w:val="00A30814"/>
    <w:rsid w:val="00A37D29"/>
    <w:rsid w:val="00A45A5F"/>
    <w:rsid w:val="00A45E58"/>
    <w:rsid w:val="00A564F9"/>
    <w:rsid w:val="00A57708"/>
    <w:rsid w:val="00A64CD3"/>
    <w:rsid w:val="00A65478"/>
    <w:rsid w:val="00A65B7B"/>
    <w:rsid w:val="00A7050C"/>
    <w:rsid w:val="00A716B4"/>
    <w:rsid w:val="00A7186C"/>
    <w:rsid w:val="00A7391B"/>
    <w:rsid w:val="00A74DE7"/>
    <w:rsid w:val="00A75DC8"/>
    <w:rsid w:val="00A80FC5"/>
    <w:rsid w:val="00A8130A"/>
    <w:rsid w:val="00A81728"/>
    <w:rsid w:val="00A8260B"/>
    <w:rsid w:val="00A833FA"/>
    <w:rsid w:val="00A83877"/>
    <w:rsid w:val="00A84189"/>
    <w:rsid w:val="00A84930"/>
    <w:rsid w:val="00A85AF5"/>
    <w:rsid w:val="00A9060E"/>
    <w:rsid w:val="00A91621"/>
    <w:rsid w:val="00A93375"/>
    <w:rsid w:val="00A95163"/>
    <w:rsid w:val="00A976D2"/>
    <w:rsid w:val="00AA2707"/>
    <w:rsid w:val="00AA3460"/>
    <w:rsid w:val="00AA3569"/>
    <w:rsid w:val="00AA76A8"/>
    <w:rsid w:val="00AB1B03"/>
    <w:rsid w:val="00AC1102"/>
    <w:rsid w:val="00AC387E"/>
    <w:rsid w:val="00AD20BF"/>
    <w:rsid w:val="00AD3BBB"/>
    <w:rsid w:val="00AD3CE6"/>
    <w:rsid w:val="00AD415D"/>
    <w:rsid w:val="00AE0B8F"/>
    <w:rsid w:val="00AE2D43"/>
    <w:rsid w:val="00AE412C"/>
    <w:rsid w:val="00AE4988"/>
    <w:rsid w:val="00AF1A05"/>
    <w:rsid w:val="00AF376D"/>
    <w:rsid w:val="00AF3E46"/>
    <w:rsid w:val="00AF4BA6"/>
    <w:rsid w:val="00AF596C"/>
    <w:rsid w:val="00AF5A02"/>
    <w:rsid w:val="00AF6BDC"/>
    <w:rsid w:val="00AF71C8"/>
    <w:rsid w:val="00B009EA"/>
    <w:rsid w:val="00B00B04"/>
    <w:rsid w:val="00B019EC"/>
    <w:rsid w:val="00B01B3B"/>
    <w:rsid w:val="00B046B1"/>
    <w:rsid w:val="00B06470"/>
    <w:rsid w:val="00B151F6"/>
    <w:rsid w:val="00B16ACE"/>
    <w:rsid w:val="00B17EE4"/>
    <w:rsid w:val="00B20ECD"/>
    <w:rsid w:val="00B264F2"/>
    <w:rsid w:val="00B27A27"/>
    <w:rsid w:val="00B27BC7"/>
    <w:rsid w:val="00B31E7C"/>
    <w:rsid w:val="00B3349F"/>
    <w:rsid w:val="00B35A56"/>
    <w:rsid w:val="00B37FA3"/>
    <w:rsid w:val="00B41BEB"/>
    <w:rsid w:val="00B44E60"/>
    <w:rsid w:val="00B46756"/>
    <w:rsid w:val="00B51F8D"/>
    <w:rsid w:val="00B54F5E"/>
    <w:rsid w:val="00B55910"/>
    <w:rsid w:val="00B57949"/>
    <w:rsid w:val="00B57EF7"/>
    <w:rsid w:val="00B65776"/>
    <w:rsid w:val="00B66459"/>
    <w:rsid w:val="00B701B7"/>
    <w:rsid w:val="00B70D33"/>
    <w:rsid w:val="00B71B70"/>
    <w:rsid w:val="00B72BE8"/>
    <w:rsid w:val="00B73892"/>
    <w:rsid w:val="00B83060"/>
    <w:rsid w:val="00B83A8B"/>
    <w:rsid w:val="00B84C0D"/>
    <w:rsid w:val="00B87681"/>
    <w:rsid w:val="00B87709"/>
    <w:rsid w:val="00B90BB5"/>
    <w:rsid w:val="00B923E3"/>
    <w:rsid w:val="00B94428"/>
    <w:rsid w:val="00B948CC"/>
    <w:rsid w:val="00B956EB"/>
    <w:rsid w:val="00B9634B"/>
    <w:rsid w:val="00B97AA9"/>
    <w:rsid w:val="00BA0670"/>
    <w:rsid w:val="00BA0D3C"/>
    <w:rsid w:val="00BA0ED8"/>
    <w:rsid w:val="00BA0FA4"/>
    <w:rsid w:val="00BA2552"/>
    <w:rsid w:val="00BA612F"/>
    <w:rsid w:val="00BB01C4"/>
    <w:rsid w:val="00BB0AAC"/>
    <w:rsid w:val="00BB3719"/>
    <w:rsid w:val="00BC2121"/>
    <w:rsid w:val="00BC2E61"/>
    <w:rsid w:val="00BC56CC"/>
    <w:rsid w:val="00BC757B"/>
    <w:rsid w:val="00BD019E"/>
    <w:rsid w:val="00BD2746"/>
    <w:rsid w:val="00BD3E14"/>
    <w:rsid w:val="00BE0791"/>
    <w:rsid w:val="00BF0284"/>
    <w:rsid w:val="00BF0C88"/>
    <w:rsid w:val="00BF5E34"/>
    <w:rsid w:val="00BF6DEF"/>
    <w:rsid w:val="00C00C98"/>
    <w:rsid w:val="00C035F0"/>
    <w:rsid w:val="00C07577"/>
    <w:rsid w:val="00C12861"/>
    <w:rsid w:val="00C14EEF"/>
    <w:rsid w:val="00C30574"/>
    <w:rsid w:val="00C32DFB"/>
    <w:rsid w:val="00C33661"/>
    <w:rsid w:val="00C36B5B"/>
    <w:rsid w:val="00C37F6F"/>
    <w:rsid w:val="00C41364"/>
    <w:rsid w:val="00C43813"/>
    <w:rsid w:val="00C45FE1"/>
    <w:rsid w:val="00C46C5C"/>
    <w:rsid w:val="00C46CBD"/>
    <w:rsid w:val="00C518FD"/>
    <w:rsid w:val="00C54EA9"/>
    <w:rsid w:val="00C559FB"/>
    <w:rsid w:val="00C60A2E"/>
    <w:rsid w:val="00C701C4"/>
    <w:rsid w:val="00C70AD7"/>
    <w:rsid w:val="00C71531"/>
    <w:rsid w:val="00C71775"/>
    <w:rsid w:val="00C75266"/>
    <w:rsid w:val="00C80C41"/>
    <w:rsid w:val="00C836B8"/>
    <w:rsid w:val="00C83F6A"/>
    <w:rsid w:val="00C84551"/>
    <w:rsid w:val="00C84DFB"/>
    <w:rsid w:val="00C90CA5"/>
    <w:rsid w:val="00C942E9"/>
    <w:rsid w:val="00C95312"/>
    <w:rsid w:val="00CA33DE"/>
    <w:rsid w:val="00CA3B6A"/>
    <w:rsid w:val="00CA4FC2"/>
    <w:rsid w:val="00CA5919"/>
    <w:rsid w:val="00CB41D1"/>
    <w:rsid w:val="00CB7A79"/>
    <w:rsid w:val="00CC0E38"/>
    <w:rsid w:val="00CC2895"/>
    <w:rsid w:val="00CC4583"/>
    <w:rsid w:val="00CD2E50"/>
    <w:rsid w:val="00CD580E"/>
    <w:rsid w:val="00CD652D"/>
    <w:rsid w:val="00CD6D7A"/>
    <w:rsid w:val="00CE19B3"/>
    <w:rsid w:val="00CE2533"/>
    <w:rsid w:val="00CE3B86"/>
    <w:rsid w:val="00CF17DC"/>
    <w:rsid w:val="00CF42D3"/>
    <w:rsid w:val="00CF52F1"/>
    <w:rsid w:val="00D02FA9"/>
    <w:rsid w:val="00D06CA6"/>
    <w:rsid w:val="00D106E5"/>
    <w:rsid w:val="00D1258E"/>
    <w:rsid w:val="00D24E84"/>
    <w:rsid w:val="00D24F87"/>
    <w:rsid w:val="00D303FE"/>
    <w:rsid w:val="00D313DA"/>
    <w:rsid w:val="00D32340"/>
    <w:rsid w:val="00D3599E"/>
    <w:rsid w:val="00D4247B"/>
    <w:rsid w:val="00D426BB"/>
    <w:rsid w:val="00D461DF"/>
    <w:rsid w:val="00D50959"/>
    <w:rsid w:val="00D51851"/>
    <w:rsid w:val="00D534AA"/>
    <w:rsid w:val="00D54B53"/>
    <w:rsid w:val="00D61DFA"/>
    <w:rsid w:val="00D62027"/>
    <w:rsid w:val="00D67B35"/>
    <w:rsid w:val="00D67D98"/>
    <w:rsid w:val="00D708B5"/>
    <w:rsid w:val="00D7094E"/>
    <w:rsid w:val="00D7225C"/>
    <w:rsid w:val="00D76A2D"/>
    <w:rsid w:val="00D77075"/>
    <w:rsid w:val="00D77463"/>
    <w:rsid w:val="00D82260"/>
    <w:rsid w:val="00D873A7"/>
    <w:rsid w:val="00D9283A"/>
    <w:rsid w:val="00DA48F9"/>
    <w:rsid w:val="00DA7B59"/>
    <w:rsid w:val="00DA7F3C"/>
    <w:rsid w:val="00DB1036"/>
    <w:rsid w:val="00DC0D68"/>
    <w:rsid w:val="00DC1211"/>
    <w:rsid w:val="00DC5F7B"/>
    <w:rsid w:val="00DC6495"/>
    <w:rsid w:val="00DD260B"/>
    <w:rsid w:val="00DD4EBF"/>
    <w:rsid w:val="00DD626E"/>
    <w:rsid w:val="00DD666A"/>
    <w:rsid w:val="00DD74E9"/>
    <w:rsid w:val="00DE1794"/>
    <w:rsid w:val="00DE17A0"/>
    <w:rsid w:val="00DE3A10"/>
    <w:rsid w:val="00DE4D68"/>
    <w:rsid w:val="00DE5219"/>
    <w:rsid w:val="00DE79B9"/>
    <w:rsid w:val="00DF074A"/>
    <w:rsid w:val="00DF1C19"/>
    <w:rsid w:val="00DF2198"/>
    <w:rsid w:val="00DF2B8A"/>
    <w:rsid w:val="00DF6005"/>
    <w:rsid w:val="00DF6A39"/>
    <w:rsid w:val="00DF6CC8"/>
    <w:rsid w:val="00DF7768"/>
    <w:rsid w:val="00DF7E90"/>
    <w:rsid w:val="00E0059C"/>
    <w:rsid w:val="00E03C33"/>
    <w:rsid w:val="00E06071"/>
    <w:rsid w:val="00E10038"/>
    <w:rsid w:val="00E11478"/>
    <w:rsid w:val="00E13A02"/>
    <w:rsid w:val="00E1510D"/>
    <w:rsid w:val="00E15160"/>
    <w:rsid w:val="00E24593"/>
    <w:rsid w:val="00E37CDB"/>
    <w:rsid w:val="00E44066"/>
    <w:rsid w:val="00E50345"/>
    <w:rsid w:val="00E50FC6"/>
    <w:rsid w:val="00E63275"/>
    <w:rsid w:val="00E634D1"/>
    <w:rsid w:val="00E651A9"/>
    <w:rsid w:val="00E65E28"/>
    <w:rsid w:val="00E67C53"/>
    <w:rsid w:val="00E72C7F"/>
    <w:rsid w:val="00E76150"/>
    <w:rsid w:val="00E76BB9"/>
    <w:rsid w:val="00E76C36"/>
    <w:rsid w:val="00E81E77"/>
    <w:rsid w:val="00E83225"/>
    <w:rsid w:val="00E834F2"/>
    <w:rsid w:val="00E85666"/>
    <w:rsid w:val="00E86234"/>
    <w:rsid w:val="00E95195"/>
    <w:rsid w:val="00E967E3"/>
    <w:rsid w:val="00EA0489"/>
    <w:rsid w:val="00EA21CC"/>
    <w:rsid w:val="00EA2565"/>
    <w:rsid w:val="00EA32E9"/>
    <w:rsid w:val="00EB05FE"/>
    <w:rsid w:val="00EB209E"/>
    <w:rsid w:val="00EB351B"/>
    <w:rsid w:val="00EC044C"/>
    <w:rsid w:val="00EC3706"/>
    <w:rsid w:val="00EC4137"/>
    <w:rsid w:val="00EC4DDE"/>
    <w:rsid w:val="00ED0163"/>
    <w:rsid w:val="00ED23EB"/>
    <w:rsid w:val="00ED2A4E"/>
    <w:rsid w:val="00ED354F"/>
    <w:rsid w:val="00EF07EE"/>
    <w:rsid w:val="00EF789D"/>
    <w:rsid w:val="00F0321D"/>
    <w:rsid w:val="00F03AC8"/>
    <w:rsid w:val="00F06DFC"/>
    <w:rsid w:val="00F11E95"/>
    <w:rsid w:val="00F16C7E"/>
    <w:rsid w:val="00F24EFB"/>
    <w:rsid w:val="00F275E7"/>
    <w:rsid w:val="00F33005"/>
    <w:rsid w:val="00F36AB6"/>
    <w:rsid w:val="00F408DF"/>
    <w:rsid w:val="00F43680"/>
    <w:rsid w:val="00F43E7A"/>
    <w:rsid w:val="00F4500D"/>
    <w:rsid w:val="00F45539"/>
    <w:rsid w:val="00F45ACE"/>
    <w:rsid w:val="00F46701"/>
    <w:rsid w:val="00F52923"/>
    <w:rsid w:val="00F55EBE"/>
    <w:rsid w:val="00F57ACA"/>
    <w:rsid w:val="00F63217"/>
    <w:rsid w:val="00F64E49"/>
    <w:rsid w:val="00F65091"/>
    <w:rsid w:val="00F65D4B"/>
    <w:rsid w:val="00F7138C"/>
    <w:rsid w:val="00F72FF0"/>
    <w:rsid w:val="00F730B0"/>
    <w:rsid w:val="00F74F83"/>
    <w:rsid w:val="00F779EE"/>
    <w:rsid w:val="00F81573"/>
    <w:rsid w:val="00F8291A"/>
    <w:rsid w:val="00F85D31"/>
    <w:rsid w:val="00F8601A"/>
    <w:rsid w:val="00F8631C"/>
    <w:rsid w:val="00F87942"/>
    <w:rsid w:val="00F9046C"/>
    <w:rsid w:val="00F916E6"/>
    <w:rsid w:val="00F92E18"/>
    <w:rsid w:val="00F9482F"/>
    <w:rsid w:val="00F94BED"/>
    <w:rsid w:val="00F97A5D"/>
    <w:rsid w:val="00FA2A27"/>
    <w:rsid w:val="00FA2C4A"/>
    <w:rsid w:val="00FA39A1"/>
    <w:rsid w:val="00FA740E"/>
    <w:rsid w:val="00FA77C2"/>
    <w:rsid w:val="00FB0ED4"/>
    <w:rsid w:val="00FB4C08"/>
    <w:rsid w:val="00FB73A2"/>
    <w:rsid w:val="00FC08C9"/>
    <w:rsid w:val="00FC0DF3"/>
    <w:rsid w:val="00FC4084"/>
    <w:rsid w:val="00FC5702"/>
    <w:rsid w:val="00FC6A4C"/>
    <w:rsid w:val="00FC717D"/>
    <w:rsid w:val="00FD1AF3"/>
    <w:rsid w:val="00FD2303"/>
    <w:rsid w:val="00FD5B87"/>
    <w:rsid w:val="00FD6E3D"/>
    <w:rsid w:val="00FD7AD8"/>
    <w:rsid w:val="00FE1F0D"/>
    <w:rsid w:val="00FE3212"/>
    <w:rsid w:val="00FE4D10"/>
    <w:rsid w:val="00FE5254"/>
    <w:rsid w:val="00FE71C4"/>
    <w:rsid w:val="00FE7526"/>
    <w:rsid w:val="00FF1F1E"/>
    <w:rsid w:val="00FF3CAF"/>
    <w:rsid w:val="00FF3F14"/>
    <w:rsid w:val="00FF44F4"/>
    <w:rsid w:val="00FF4E29"/>
    <w:rsid w:val="027F6AB2"/>
    <w:rsid w:val="02A40196"/>
    <w:rsid w:val="02D268B6"/>
    <w:rsid w:val="0305345B"/>
    <w:rsid w:val="036F4D79"/>
    <w:rsid w:val="03C84489"/>
    <w:rsid w:val="03DE3CAC"/>
    <w:rsid w:val="03EC63C9"/>
    <w:rsid w:val="0414147C"/>
    <w:rsid w:val="04706FFA"/>
    <w:rsid w:val="04EA3BA4"/>
    <w:rsid w:val="051F632A"/>
    <w:rsid w:val="052D6C99"/>
    <w:rsid w:val="057961BE"/>
    <w:rsid w:val="05AB7BBE"/>
    <w:rsid w:val="05B2719F"/>
    <w:rsid w:val="05B60A3D"/>
    <w:rsid w:val="05BC001D"/>
    <w:rsid w:val="05BF6C81"/>
    <w:rsid w:val="05D435B9"/>
    <w:rsid w:val="061B11E8"/>
    <w:rsid w:val="0639166E"/>
    <w:rsid w:val="067B1C86"/>
    <w:rsid w:val="076170CE"/>
    <w:rsid w:val="07FE491D"/>
    <w:rsid w:val="081D2FF5"/>
    <w:rsid w:val="08393BA7"/>
    <w:rsid w:val="0891753F"/>
    <w:rsid w:val="089450F6"/>
    <w:rsid w:val="090C4E18"/>
    <w:rsid w:val="09433CCF"/>
    <w:rsid w:val="09844AE7"/>
    <w:rsid w:val="098F7F23"/>
    <w:rsid w:val="0A427E0D"/>
    <w:rsid w:val="0B130811"/>
    <w:rsid w:val="0B512FB6"/>
    <w:rsid w:val="0B5C5BE2"/>
    <w:rsid w:val="0BF4406D"/>
    <w:rsid w:val="0C2F779B"/>
    <w:rsid w:val="0C6C454B"/>
    <w:rsid w:val="0CAB5A2F"/>
    <w:rsid w:val="0CF92BF4"/>
    <w:rsid w:val="0D061F30"/>
    <w:rsid w:val="0D951880"/>
    <w:rsid w:val="0D9D24E2"/>
    <w:rsid w:val="0E682AF0"/>
    <w:rsid w:val="0EB67D00"/>
    <w:rsid w:val="0EC3241C"/>
    <w:rsid w:val="0F2F1860"/>
    <w:rsid w:val="0F9811B3"/>
    <w:rsid w:val="109E4EEF"/>
    <w:rsid w:val="10C55FD8"/>
    <w:rsid w:val="10CD1330"/>
    <w:rsid w:val="11392FB3"/>
    <w:rsid w:val="114F7F97"/>
    <w:rsid w:val="11692E07"/>
    <w:rsid w:val="122D2087"/>
    <w:rsid w:val="127A7296"/>
    <w:rsid w:val="1299596E"/>
    <w:rsid w:val="12CC7AF2"/>
    <w:rsid w:val="13E26EA1"/>
    <w:rsid w:val="14860174"/>
    <w:rsid w:val="14BE346A"/>
    <w:rsid w:val="14F21366"/>
    <w:rsid w:val="157430AD"/>
    <w:rsid w:val="15915022"/>
    <w:rsid w:val="15AF54A9"/>
    <w:rsid w:val="15C63ED2"/>
    <w:rsid w:val="16290DB7"/>
    <w:rsid w:val="174B3234"/>
    <w:rsid w:val="17887D5F"/>
    <w:rsid w:val="18265134"/>
    <w:rsid w:val="18550589"/>
    <w:rsid w:val="18931854"/>
    <w:rsid w:val="18EE62E8"/>
    <w:rsid w:val="18F002B2"/>
    <w:rsid w:val="191B532F"/>
    <w:rsid w:val="19461C80"/>
    <w:rsid w:val="1ADF413A"/>
    <w:rsid w:val="1BC11A92"/>
    <w:rsid w:val="1BD73063"/>
    <w:rsid w:val="1C4306F9"/>
    <w:rsid w:val="1C6E5776"/>
    <w:rsid w:val="1C715266"/>
    <w:rsid w:val="1D8B2357"/>
    <w:rsid w:val="1E0345E3"/>
    <w:rsid w:val="1E676920"/>
    <w:rsid w:val="1E91399D"/>
    <w:rsid w:val="1EA27958"/>
    <w:rsid w:val="1EE7180F"/>
    <w:rsid w:val="1F38206B"/>
    <w:rsid w:val="1F494278"/>
    <w:rsid w:val="1F9951FF"/>
    <w:rsid w:val="1F9C4CF0"/>
    <w:rsid w:val="1FE43FA1"/>
    <w:rsid w:val="20517888"/>
    <w:rsid w:val="205C167F"/>
    <w:rsid w:val="20D60537"/>
    <w:rsid w:val="21466CC1"/>
    <w:rsid w:val="214747E7"/>
    <w:rsid w:val="21A67760"/>
    <w:rsid w:val="21C85928"/>
    <w:rsid w:val="22405E06"/>
    <w:rsid w:val="22460F43"/>
    <w:rsid w:val="2277734E"/>
    <w:rsid w:val="229C0B63"/>
    <w:rsid w:val="23C12F77"/>
    <w:rsid w:val="23DA1943"/>
    <w:rsid w:val="24307E33"/>
    <w:rsid w:val="24A81A41"/>
    <w:rsid w:val="24C148B0"/>
    <w:rsid w:val="259A75DB"/>
    <w:rsid w:val="25E31372"/>
    <w:rsid w:val="26E7356F"/>
    <w:rsid w:val="27554102"/>
    <w:rsid w:val="275B0FEC"/>
    <w:rsid w:val="27A34863"/>
    <w:rsid w:val="27B150B0"/>
    <w:rsid w:val="27F6479E"/>
    <w:rsid w:val="28215D92"/>
    <w:rsid w:val="28E31299"/>
    <w:rsid w:val="2A3D0E7D"/>
    <w:rsid w:val="2A50295E"/>
    <w:rsid w:val="2AE165AE"/>
    <w:rsid w:val="2B0B2D29"/>
    <w:rsid w:val="2B0F6376"/>
    <w:rsid w:val="2B2B47BD"/>
    <w:rsid w:val="2B3656F2"/>
    <w:rsid w:val="2B3758CC"/>
    <w:rsid w:val="2BDD46C6"/>
    <w:rsid w:val="2CDE4E87"/>
    <w:rsid w:val="2D297497"/>
    <w:rsid w:val="2D9E7E85"/>
    <w:rsid w:val="2DCC054E"/>
    <w:rsid w:val="2DF857E7"/>
    <w:rsid w:val="2E156399"/>
    <w:rsid w:val="2E6469D8"/>
    <w:rsid w:val="2F3C7955"/>
    <w:rsid w:val="2FAB0637"/>
    <w:rsid w:val="2FF67B04"/>
    <w:rsid w:val="305940EA"/>
    <w:rsid w:val="30990424"/>
    <w:rsid w:val="30AE03DF"/>
    <w:rsid w:val="30C6397A"/>
    <w:rsid w:val="310860EC"/>
    <w:rsid w:val="31692558"/>
    <w:rsid w:val="31DD5420"/>
    <w:rsid w:val="31F9640B"/>
    <w:rsid w:val="32382656"/>
    <w:rsid w:val="323B5CA2"/>
    <w:rsid w:val="332826CA"/>
    <w:rsid w:val="335C4122"/>
    <w:rsid w:val="336631F3"/>
    <w:rsid w:val="33784CD4"/>
    <w:rsid w:val="3421711A"/>
    <w:rsid w:val="343F2941"/>
    <w:rsid w:val="34655258"/>
    <w:rsid w:val="34AC10D9"/>
    <w:rsid w:val="351729F7"/>
    <w:rsid w:val="353C420B"/>
    <w:rsid w:val="355A28E3"/>
    <w:rsid w:val="356814A4"/>
    <w:rsid w:val="35775243"/>
    <w:rsid w:val="35E328D9"/>
    <w:rsid w:val="35F1149A"/>
    <w:rsid w:val="3661123A"/>
    <w:rsid w:val="36621AA7"/>
    <w:rsid w:val="36716136"/>
    <w:rsid w:val="367B0D63"/>
    <w:rsid w:val="368972A0"/>
    <w:rsid w:val="3778295C"/>
    <w:rsid w:val="37977E1F"/>
    <w:rsid w:val="37FA2418"/>
    <w:rsid w:val="3862667F"/>
    <w:rsid w:val="393D4507"/>
    <w:rsid w:val="39504729"/>
    <w:rsid w:val="39934616"/>
    <w:rsid w:val="39EF3F42"/>
    <w:rsid w:val="39F350B4"/>
    <w:rsid w:val="3A452A74"/>
    <w:rsid w:val="3ACC7DDF"/>
    <w:rsid w:val="3B51669D"/>
    <w:rsid w:val="3BA448B8"/>
    <w:rsid w:val="3C326368"/>
    <w:rsid w:val="3C5207B8"/>
    <w:rsid w:val="3CDB255C"/>
    <w:rsid w:val="3D712EC0"/>
    <w:rsid w:val="3DDC2A2F"/>
    <w:rsid w:val="3DF5764D"/>
    <w:rsid w:val="3EA73A22"/>
    <w:rsid w:val="3EF53FFA"/>
    <w:rsid w:val="3F1C50AD"/>
    <w:rsid w:val="3F5A4327"/>
    <w:rsid w:val="3F6B1014"/>
    <w:rsid w:val="3F8759E1"/>
    <w:rsid w:val="403501D5"/>
    <w:rsid w:val="40A84E4B"/>
    <w:rsid w:val="410A340F"/>
    <w:rsid w:val="41151DB4"/>
    <w:rsid w:val="412D70FE"/>
    <w:rsid w:val="418D21FF"/>
    <w:rsid w:val="42B20202"/>
    <w:rsid w:val="42DE008F"/>
    <w:rsid w:val="43036368"/>
    <w:rsid w:val="43584F23"/>
    <w:rsid w:val="43742674"/>
    <w:rsid w:val="43B95907"/>
    <w:rsid w:val="444E5D09"/>
    <w:rsid w:val="44F63392"/>
    <w:rsid w:val="45B93656"/>
    <w:rsid w:val="45F4468E"/>
    <w:rsid w:val="46BF6A4A"/>
    <w:rsid w:val="46CD624D"/>
    <w:rsid w:val="46EF7F48"/>
    <w:rsid w:val="47E26E94"/>
    <w:rsid w:val="47E44B32"/>
    <w:rsid w:val="47F00E85"/>
    <w:rsid w:val="47FB61A8"/>
    <w:rsid w:val="48A71E8C"/>
    <w:rsid w:val="48E629B4"/>
    <w:rsid w:val="48E924A4"/>
    <w:rsid w:val="492E26B6"/>
    <w:rsid w:val="493D00FA"/>
    <w:rsid w:val="493F4133"/>
    <w:rsid w:val="49470ED8"/>
    <w:rsid w:val="4A3B288C"/>
    <w:rsid w:val="4BFB49C8"/>
    <w:rsid w:val="4C3E6663"/>
    <w:rsid w:val="4C4023DB"/>
    <w:rsid w:val="4C4A6E62"/>
    <w:rsid w:val="4C7E1155"/>
    <w:rsid w:val="4C9B3AB5"/>
    <w:rsid w:val="4CC27294"/>
    <w:rsid w:val="4CF907DC"/>
    <w:rsid w:val="4D104A5A"/>
    <w:rsid w:val="4D31248F"/>
    <w:rsid w:val="4E122044"/>
    <w:rsid w:val="4E221F43"/>
    <w:rsid w:val="4EA01857"/>
    <w:rsid w:val="4F18319B"/>
    <w:rsid w:val="4F1F7973"/>
    <w:rsid w:val="4F2E0C11"/>
    <w:rsid w:val="4F3A5808"/>
    <w:rsid w:val="4F43175A"/>
    <w:rsid w:val="4F4915A7"/>
    <w:rsid w:val="501A2F43"/>
    <w:rsid w:val="51383FC9"/>
    <w:rsid w:val="513F6CCC"/>
    <w:rsid w:val="519E02C5"/>
    <w:rsid w:val="51A0391C"/>
    <w:rsid w:val="51C4760A"/>
    <w:rsid w:val="5215084E"/>
    <w:rsid w:val="524D13AE"/>
    <w:rsid w:val="526D37FE"/>
    <w:rsid w:val="528F3589"/>
    <w:rsid w:val="52C553E8"/>
    <w:rsid w:val="53AB0A82"/>
    <w:rsid w:val="53F04894"/>
    <w:rsid w:val="543F11CA"/>
    <w:rsid w:val="546C32D0"/>
    <w:rsid w:val="54C85664"/>
    <w:rsid w:val="553B3488"/>
    <w:rsid w:val="556F1F83"/>
    <w:rsid w:val="5579695E"/>
    <w:rsid w:val="559D089E"/>
    <w:rsid w:val="55CC3B97"/>
    <w:rsid w:val="56570A4D"/>
    <w:rsid w:val="56D4592B"/>
    <w:rsid w:val="575C2093"/>
    <w:rsid w:val="57B7551B"/>
    <w:rsid w:val="57D8796C"/>
    <w:rsid w:val="580544D9"/>
    <w:rsid w:val="59011144"/>
    <w:rsid w:val="59271254"/>
    <w:rsid w:val="592B5AC1"/>
    <w:rsid w:val="594315CB"/>
    <w:rsid w:val="59A044B9"/>
    <w:rsid w:val="5A3612C1"/>
    <w:rsid w:val="5AA601F5"/>
    <w:rsid w:val="5AAB1367"/>
    <w:rsid w:val="5B6854AA"/>
    <w:rsid w:val="5B890914"/>
    <w:rsid w:val="5C1178F0"/>
    <w:rsid w:val="5C451348"/>
    <w:rsid w:val="5C732359"/>
    <w:rsid w:val="5D2131B3"/>
    <w:rsid w:val="5D6121B1"/>
    <w:rsid w:val="5DB06C95"/>
    <w:rsid w:val="5DF9063C"/>
    <w:rsid w:val="5E0707E8"/>
    <w:rsid w:val="5E9C49F5"/>
    <w:rsid w:val="5F265461"/>
    <w:rsid w:val="5F457AD9"/>
    <w:rsid w:val="5FBC4017"/>
    <w:rsid w:val="5FE64732"/>
    <w:rsid w:val="601F7A80"/>
    <w:rsid w:val="6106379C"/>
    <w:rsid w:val="618A5DE7"/>
    <w:rsid w:val="619F14FA"/>
    <w:rsid w:val="62894684"/>
    <w:rsid w:val="62AF39BF"/>
    <w:rsid w:val="62CF4061"/>
    <w:rsid w:val="632E0D88"/>
    <w:rsid w:val="633B5253"/>
    <w:rsid w:val="635B76A3"/>
    <w:rsid w:val="64063675"/>
    <w:rsid w:val="642F3009"/>
    <w:rsid w:val="643B4F3F"/>
    <w:rsid w:val="649864A1"/>
    <w:rsid w:val="655A40B6"/>
    <w:rsid w:val="65DD0843"/>
    <w:rsid w:val="65F8742B"/>
    <w:rsid w:val="66244A39"/>
    <w:rsid w:val="664C143E"/>
    <w:rsid w:val="66B07D06"/>
    <w:rsid w:val="67103B55"/>
    <w:rsid w:val="67B37AAD"/>
    <w:rsid w:val="67CC0B6F"/>
    <w:rsid w:val="67E3238F"/>
    <w:rsid w:val="686B1C82"/>
    <w:rsid w:val="6871156D"/>
    <w:rsid w:val="68A45648"/>
    <w:rsid w:val="68DC4DE2"/>
    <w:rsid w:val="68FB795E"/>
    <w:rsid w:val="69196036"/>
    <w:rsid w:val="6922138F"/>
    <w:rsid w:val="69CC4E56"/>
    <w:rsid w:val="6A0D60E0"/>
    <w:rsid w:val="6A40567E"/>
    <w:rsid w:val="6ABC4ECB"/>
    <w:rsid w:val="6AC67AF8"/>
    <w:rsid w:val="6B7C465A"/>
    <w:rsid w:val="6B8F7699"/>
    <w:rsid w:val="6BBD714D"/>
    <w:rsid w:val="6C3867D3"/>
    <w:rsid w:val="6C54531E"/>
    <w:rsid w:val="6C9854C4"/>
    <w:rsid w:val="6CCC3ECD"/>
    <w:rsid w:val="6D1159A2"/>
    <w:rsid w:val="6D350F65"/>
    <w:rsid w:val="6DBD3434"/>
    <w:rsid w:val="6E217E67"/>
    <w:rsid w:val="6E343D7F"/>
    <w:rsid w:val="6E7A24C4"/>
    <w:rsid w:val="6EC407F2"/>
    <w:rsid w:val="6ED6350D"/>
    <w:rsid w:val="6F3B4F58"/>
    <w:rsid w:val="6F881820"/>
    <w:rsid w:val="6FE229C1"/>
    <w:rsid w:val="70932B72"/>
    <w:rsid w:val="70954C14"/>
    <w:rsid w:val="70981F36"/>
    <w:rsid w:val="70BF202F"/>
    <w:rsid w:val="70DD5B9B"/>
    <w:rsid w:val="713E68ED"/>
    <w:rsid w:val="71470049"/>
    <w:rsid w:val="723B0DCB"/>
    <w:rsid w:val="725974A3"/>
    <w:rsid w:val="729E2E4E"/>
    <w:rsid w:val="737C78ED"/>
    <w:rsid w:val="74051691"/>
    <w:rsid w:val="740C6EC3"/>
    <w:rsid w:val="741A64F2"/>
    <w:rsid w:val="742C1313"/>
    <w:rsid w:val="751B134C"/>
    <w:rsid w:val="753A35BC"/>
    <w:rsid w:val="757A7E5C"/>
    <w:rsid w:val="758E56B6"/>
    <w:rsid w:val="75D27C98"/>
    <w:rsid w:val="762A7AD4"/>
    <w:rsid w:val="76515061"/>
    <w:rsid w:val="76CA0970"/>
    <w:rsid w:val="76D952AE"/>
    <w:rsid w:val="773329B9"/>
    <w:rsid w:val="773F782D"/>
    <w:rsid w:val="77617303"/>
    <w:rsid w:val="77996839"/>
    <w:rsid w:val="77C81353"/>
    <w:rsid w:val="77CB499F"/>
    <w:rsid w:val="77D23F80"/>
    <w:rsid w:val="77DF669D"/>
    <w:rsid w:val="78770683"/>
    <w:rsid w:val="78880AE2"/>
    <w:rsid w:val="78D21D5D"/>
    <w:rsid w:val="7A0B5527"/>
    <w:rsid w:val="7A574C10"/>
    <w:rsid w:val="7A8D418E"/>
    <w:rsid w:val="7AEF6BF7"/>
    <w:rsid w:val="7B234AF2"/>
    <w:rsid w:val="7B767318"/>
    <w:rsid w:val="7CE81B50"/>
    <w:rsid w:val="7D357616"/>
    <w:rsid w:val="7D6B2EAC"/>
    <w:rsid w:val="7D7B0C16"/>
    <w:rsid w:val="7DDC7906"/>
    <w:rsid w:val="7DF51F04"/>
    <w:rsid w:val="7E123328"/>
    <w:rsid w:val="7E1C31BC"/>
    <w:rsid w:val="7E201469"/>
    <w:rsid w:val="7EB77A2B"/>
    <w:rsid w:val="7ED4682F"/>
    <w:rsid w:val="7EEA1BAF"/>
    <w:rsid w:val="7F1E7AAB"/>
    <w:rsid w:val="7F7122D0"/>
    <w:rsid w:val="7FB4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widowControl/>
      <w:spacing w:before="340" w:after="330" w:line="576" w:lineRule="auto"/>
      <w:outlineLvl w:val="0"/>
    </w:pPr>
    <w:rPr>
      <w:rFonts w:ascii="Arial" w:hAnsi="Arial" w:cs="Arial"/>
      <w:b/>
      <w:bCs/>
      <w:color w:val="020000"/>
      <w:kern w:val="36"/>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widowControl/>
      <w:spacing w:before="280" w:after="290" w:line="372" w:lineRule="auto"/>
      <w:outlineLvl w:val="3"/>
    </w:pPr>
    <w:rPr>
      <w:rFonts w:ascii="Arial" w:hAnsi="Arial" w:cs="Arial"/>
      <w:b/>
      <w:bCs/>
      <w:kern w:val="0"/>
      <w:sz w:val="28"/>
      <w:szCs w:val="28"/>
    </w:rPr>
  </w:style>
  <w:style w:type="character" w:default="1" w:styleId="32">
    <w:name w:val="Default Paragraph Font"/>
    <w:autoRedefine/>
    <w:semiHidden/>
    <w:qFormat/>
    <w:uiPriority w:val="0"/>
  </w:style>
  <w:style w:type="table" w:default="1" w:styleId="30">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rFonts w:ascii="Calibri" w:hAnsi="Calibri"/>
      <w:sz w:val="18"/>
      <w:szCs w:val="18"/>
    </w:rPr>
  </w:style>
  <w:style w:type="paragraph" w:styleId="7">
    <w:name w:val="Normal Indent"/>
    <w:basedOn w:val="1"/>
    <w:next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 w:type="paragraph" w:styleId="8">
    <w:name w:val="Document Map"/>
    <w:basedOn w:val="1"/>
    <w:autoRedefine/>
    <w:semiHidden/>
    <w:qFormat/>
    <w:uiPriority w:val="0"/>
    <w:pPr>
      <w:shd w:val="clear" w:color="auto" w:fill="000080"/>
    </w:pPr>
  </w:style>
  <w:style w:type="paragraph" w:styleId="9">
    <w:name w:val="annotation text"/>
    <w:basedOn w:val="1"/>
    <w:autoRedefine/>
    <w:semiHidden/>
    <w:qFormat/>
    <w:uiPriority w:val="0"/>
    <w:pPr>
      <w:jc w:val="left"/>
    </w:pPr>
  </w:style>
  <w:style w:type="paragraph" w:styleId="10">
    <w:name w:val="Body Text 3"/>
    <w:basedOn w:val="1"/>
    <w:link w:val="38"/>
    <w:autoRedefine/>
    <w:qFormat/>
    <w:uiPriority w:val="0"/>
    <w:rPr>
      <w:rFonts w:ascii="宋体"/>
      <w:sz w:val="24"/>
      <w:szCs w:val="20"/>
    </w:rPr>
  </w:style>
  <w:style w:type="paragraph" w:styleId="11">
    <w:name w:val="Body Text"/>
    <w:basedOn w:val="1"/>
    <w:autoRedefine/>
    <w:qFormat/>
    <w:uiPriority w:val="0"/>
    <w:pPr>
      <w:spacing w:after="120"/>
    </w:pPr>
    <w:rPr>
      <w:rFonts w:ascii="Baskerville Old Face" w:hAnsi="Baskerville Old Face" w:cs="Baskerville Old Face"/>
      <w:sz w:val="24"/>
      <w:szCs w:val="20"/>
    </w:rPr>
  </w:style>
  <w:style w:type="paragraph" w:styleId="12">
    <w:name w:val="Body Text Indent"/>
    <w:basedOn w:val="1"/>
    <w:next w:val="13"/>
    <w:qFormat/>
    <w:uiPriority w:val="0"/>
    <w:pPr>
      <w:spacing w:after="120"/>
      <w:ind w:left="420" w:leftChars="200"/>
    </w:pPr>
  </w:style>
  <w:style w:type="paragraph" w:styleId="13">
    <w:name w:val="Body Text First Indent 2"/>
    <w:basedOn w:val="12"/>
    <w:unhideWhenUsed/>
    <w:qFormat/>
    <w:uiPriority w:val="0"/>
    <w:pPr>
      <w:spacing w:after="0"/>
      <w:ind w:left="0" w:leftChars="0" w:firstLine="420" w:firstLineChars="233"/>
    </w:pPr>
    <w:rPr>
      <w:rFonts w:ascii="Times New Roman"/>
      <w:sz w:val="28"/>
    </w:rPr>
  </w:style>
  <w:style w:type="paragraph" w:styleId="14">
    <w:name w:val="Block Text"/>
    <w:basedOn w:val="1"/>
    <w:autoRedefine/>
    <w:unhideWhenUsed/>
    <w:qFormat/>
    <w:uiPriority w:val="0"/>
    <w:pPr>
      <w:spacing w:line="360" w:lineRule="auto"/>
      <w:ind w:left="-420" w:leftChars="-200" w:right="210" w:rightChars="100" w:firstLine="480" w:firstLineChars="200"/>
    </w:pPr>
    <w:rPr>
      <w:rFonts w:ascii="宋体" w:hAnsi="宋体"/>
      <w:sz w:val="24"/>
    </w:rPr>
  </w:style>
  <w:style w:type="paragraph" w:styleId="15">
    <w:name w:val="toc 5"/>
    <w:basedOn w:val="1"/>
    <w:next w:val="1"/>
    <w:autoRedefine/>
    <w:qFormat/>
    <w:uiPriority w:val="0"/>
    <w:pPr>
      <w:ind w:left="840"/>
      <w:jc w:val="left"/>
    </w:pPr>
    <w:rPr>
      <w:rFonts w:ascii="Calibri" w:hAnsi="Calibri"/>
      <w:sz w:val="18"/>
      <w:szCs w:val="18"/>
    </w:rPr>
  </w:style>
  <w:style w:type="paragraph" w:styleId="16">
    <w:name w:val="toc 3"/>
    <w:basedOn w:val="1"/>
    <w:next w:val="1"/>
    <w:autoRedefine/>
    <w:qFormat/>
    <w:uiPriority w:val="39"/>
    <w:pPr>
      <w:ind w:left="420"/>
      <w:jc w:val="left"/>
    </w:pPr>
    <w:rPr>
      <w:rFonts w:ascii="Calibri" w:hAnsi="Calibri"/>
      <w:i/>
      <w:iCs/>
      <w:sz w:val="20"/>
      <w:szCs w:val="20"/>
    </w:rPr>
  </w:style>
  <w:style w:type="paragraph" w:styleId="17">
    <w:name w:val="Plain Text"/>
    <w:basedOn w:val="1"/>
    <w:autoRedefine/>
    <w:qFormat/>
    <w:uiPriority w:val="0"/>
    <w:pPr>
      <w:widowControl/>
      <w:jc w:val="left"/>
    </w:pPr>
    <w:rPr>
      <w:rFonts w:ascii="Arial" w:hAnsi="Arial" w:cs="Arial"/>
      <w:kern w:val="0"/>
      <w:sz w:val="24"/>
    </w:rPr>
  </w:style>
  <w:style w:type="paragraph" w:styleId="18">
    <w:name w:val="toc 8"/>
    <w:basedOn w:val="1"/>
    <w:next w:val="1"/>
    <w:autoRedefine/>
    <w:qFormat/>
    <w:uiPriority w:val="0"/>
    <w:pPr>
      <w:ind w:left="1470"/>
      <w:jc w:val="left"/>
    </w:pPr>
    <w:rPr>
      <w:rFonts w:ascii="Calibri" w:hAnsi="Calibri"/>
      <w:sz w:val="18"/>
      <w:szCs w:val="18"/>
    </w:rPr>
  </w:style>
  <w:style w:type="paragraph" w:styleId="19">
    <w:name w:val="Body Text Indent 2"/>
    <w:basedOn w:val="1"/>
    <w:link w:val="39"/>
    <w:autoRedefine/>
    <w:qFormat/>
    <w:uiPriority w:val="0"/>
    <w:pPr>
      <w:widowControl/>
      <w:spacing w:after="120" w:line="480" w:lineRule="auto"/>
      <w:ind w:left="420" w:leftChars="200"/>
      <w:jc w:val="left"/>
    </w:pPr>
    <w:rPr>
      <w:kern w:val="0"/>
      <w:sz w:val="20"/>
      <w:szCs w:val="20"/>
    </w:rPr>
  </w:style>
  <w:style w:type="paragraph" w:styleId="20">
    <w:name w:val="Balloon Text"/>
    <w:basedOn w:val="1"/>
    <w:autoRedefine/>
    <w:semiHidden/>
    <w:qFormat/>
    <w:uiPriority w:val="0"/>
    <w:rPr>
      <w:sz w:val="18"/>
      <w:szCs w:val="18"/>
    </w:rPr>
  </w:style>
  <w:style w:type="paragraph" w:styleId="21">
    <w:name w:val="footer"/>
    <w:basedOn w:val="1"/>
    <w:link w:val="40"/>
    <w:autoRedefine/>
    <w:qFormat/>
    <w:uiPriority w:val="99"/>
    <w:pPr>
      <w:widowControl/>
      <w:snapToGrid w:val="0"/>
      <w:jc w:val="left"/>
    </w:pPr>
    <w:rPr>
      <w:kern w:val="0"/>
      <w:sz w:val="18"/>
      <w:szCs w:val="18"/>
    </w:rPr>
  </w:style>
  <w:style w:type="paragraph" w:styleId="2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spacing w:before="120" w:after="120"/>
      <w:jc w:val="left"/>
    </w:pPr>
    <w:rPr>
      <w:rFonts w:ascii="Calibri" w:hAnsi="Calibri"/>
      <w:b/>
      <w:bCs/>
      <w:caps/>
      <w:sz w:val="20"/>
      <w:szCs w:val="20"/>
    </w:rPr>
  </w:style>
  <w:style w:type="paragraph" w:styleId="24">
    <w:name w:val="toc 4"/>
    <w:basedOn w:val="1"/>
    <w:next w:val="1"/>
    <w:autoRedefine/>
    <w:qFormat/>
    <w:uiPriority w:val="0"/>
    <w:pPr>
      <w:ind w:left="630"/>
      <w:jc w:val="left"/>
    </w:pPr>
    <w:rPr>
      <w:rFonts w:ascii="Calibri" w:hAnsi="Calibri"/>
      <w:sz w:val="18"/>
      <w:szCs w:val="18"/>
    </w:rPr>
  </w:style>
  <w:style w:type="paragraph" w:styleId="25">
    <w:name w:val="toc 6"/>
    <w:basedOn w:val="1"/>
    <w:next w:val="1"/>
    <w:autoRedefine/>
    <w:qFormat/>
    <w:uiPriority w:val="0"/>
    <w:pPr>
      <w:ind w:left="1050"/>
      <w:jc w:val="left"/>
    </w:pPr>
    <w:rPr>
      <w:rFonts w:ascii="Calibri" w:hAnsi="Calibri"/>
      <w:sz w:val="18"/>
      <w:szCs w:val="18"/>
    </w:rPr>
  </w:style>
  <w:style w:type="paragraph" w:styleId="26">
    <w:name w:val="toc 2"/>
    <w:basedOn w:val="1"/>
    <w:next w:val="1"/>
    <w:autoRedefine/>
    <w:qFormat/>
    <w:uiPriority w:val="39"/>
    <w:pPr>
      <w:ind w:left="210"/>
      <w:jc w:val="left"/>
    </w:pPr>
    <w:rPr>
      <w:rFonts w:ascii="Calibri" w:hAnsi="Calibri"/>
      <w:smallCaps/>
      <w:sz w:val="20"/>
      <w:szCs w:val="20"/>
    </w:rPr>
  </w:style>
  <w:style w:type="paragraph" w:styleId="27">
    <w:name w:val="toc 9"/>
    <w:basedOn w:val="1"/>
    <w:next w:val="1"/>
    <w:autoRedefine/>
    <w:qFormat/>
    <w:uiPriority w:val="0"/>
    <w:pPr>
      <w:ind w:left="1680"/>
      <w:jc w:val="left"/>
    </w:pPr>
    <w:rPr>
      <w:rFonts w:ascii="Calibri" w:hAnsi="Calibri"/>
      <w:sz w:val="18"/>
      <w:szCs w:val="18"/>
    </w:rPr>
  </w:style>
  <w:style w:type="paragraph" w:styleId="28">
    <w:name w:val="Normal (Web)"/>
    <w:basedOn w:val="1"/>
    <w:autoRedefine/>
    <w:qFormat/>
    <w:uiPriority w:val="99"/>
    <w:pPr>
      <w:widowControl/>
      <w:jc w:val="left"/>
    </w:pPr>
    <w:rPr>
      <w:rFonts w:ascii="Arial" w:hAnsi="Arial" w:cs="Arial"/>
      <w:kern w:val="0"/>
      <w:sz w:val="24"/>
    </w:rPr>
  </w:style>
  <w:style w:type="paragraph" w:styleId="29">
    <w:name w:val="annotation subject"/>
    <w:basedOn w:val="9"/>
    <w:next w:val="9"/>
    <w:autoRedefine/>
    <w:semiHidden/>
    <w:qFormat/>
    <w:uiPriority w:val="0"/>
    <w:rPr>
      <w:b/>
      <w:bCs/>
    </w:rPr>
  </w:style>
  <w:style w:type="table" w:styleId="31">
    <w:name w:val="Table Grid"/>
    <w:basedOn w:val="3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qFormat/>
    <w:uiPriority w:val="0"/>
    <w:rPr>
      <w:b/>
    </w:rPr>
  </w:style>
  <w:style w:type="character" w:styleId="34">
    <w:name w:val="page number"/>
    <w:autoRedefine/>
    <w:qFormat/>
    <w:uiPriority w:val="0"/>
  </w:style>
  <w:style w:type="character" w:styleId="35">
    <w:name w:val="Hyperlink"/>
    <w:autoRedefine/>
    <w:qFormat/>
    <w:uiPriority w:val="99"/>
    <w:rPr>
      <w:color w:val="0000FF"/>
      <w:u w:val="single"/>
    </w:rPr>
  </w:style>
  <w:style w:type="character" w:styleId="36">
    <w:name w:val="annotation reference"/>
    <w:autoRedefine/>
    <w:semiHidden/>
    <w:qFormat/>
    <w:uiPriority w:val="0"/>
    <w:rPr>
      <w:sz w:val="21"/>
      <w:szCs w:val="21"/>
    </w:rPr>
  </w:style>
  <w:style w:type="paragraph" w:customStyle="1" w:styleId="37">
    <w:name w:val="表格文字"/>
    <w:basedOn w:val="1"/>
    <w:autoRedefine/>
    <w:qFormat/>
    <w:uiPriority w:val="0"/>
    <w:pPr>
      <w:adjustRightInd w:val="0"/>
      <w:snapToGrid w:val="0"/>
      <w:spacing w:beforeLines="20" w:line="360" w:lineRule="auto"/>
      <w:ind w:left="-51" w:leftChars="-51" w:hanging="107" w:hangingChars="51"/>
      <w:jc w:val="center"/>
    </w:pPr>
    <w:rPr>
      <w:color w:val="000000"/>
    </w:rPr>
  </w:style>
  <w:style w:type="character" w:customStyle="1" w:styleId="38">
    <w:name w:val="正文文本 3 Char"/>
    <w:link w:val="10"/>
    <w:autoRedefine/>
    <w:qFormat/>
    <w:uiPriority w:val="0"/>
    <w:rPr>
      <w:rFonts w:ascii="宋体"/>
      <w:kern w:val="2"/>
      <w:sz w:val="24"/>
    </w:rPr>
  </w:style>
  <w:style w:type="character" w:customStyle="1" w:styleId="39">
    <w:name w:val="正文文本缩进 2 Char"/>
    <w:link w:val="19"/>
    <w:autoRedefine/>
    <w:qFormat/>
    <w:uiPriority w:val="0"/>
  </w:style>
  <w:style w:type="character" w:customStyle="1" w:styleId="40">
    <w:name w:val="页脚 Char"/>
    <w:link w:val="21"/>
    <w:autoRedefine/>
    <w:qFormat/>
    <w:uiPriority w:val="99"/>
    <w:rPr>
      <w:rFonts w:eastAsia="宋体"/>
      <w:sz w:val="18"/>
      <w:szCs w:val="18"/>
      <w:lang w:val="en-US" w:eastAsia="zh-CN" w:bidi="ar-SA"/>
    </w:rPr>
  </w:style>
  <w:style w:type="character" w:customStyle="1" w:styleId="41">
    <w:name w:val="ꌢ 3 Char"/>
    <w:link w:val="42"/>
    <w:autoRedefine/>
    <w:qFormat/>
    <w:uiPriority w:val="0"/>
    <w:rPr>
      <w:rFonts w:ascii="Ђˎ̥" w:hAnsi="Ђˎ̥"/>
      <w:b/>
      <w:bCs/>
      <w:lang w:bidi="ar-SA"/>
    </w:rPr>
  </w:style>
  <w:style w:type="paragraph" w:customStyle="1" w:styleId="42">
    <w:name w:val="ꌢ 3"/>
    <w:basedOn w:val="1"/>
    <w:link w:val="41"/>
    <w:autoRedefine/>
    <w:qFormat/>
    <w:uiPriority w:val="0"/>
    <w:pPr>
      <w:widowControl/>
    </w:pPr>
    <w:rPr>
      <w:rFonts w:ascii="Ђˎ̥" w:hAnsi="Ђˎ̥"/>
      <w:b/>
      <w:bCs/>
      <w:kern w:val="0"/>
      <w:sz w:val="20"/>
      <w:szCs w:val="20"/>
    </w:rPr>
  </w:style>
  <w:style w:type="character" w:customStyle="1" w:styleId="43">
    <w:name w:val="msonormal"/>
    <w:autoRedefine/>
    <w:qFormat/>
    <w:uiPriority w:val="0"/>
  </w:style>
  <w:style w:type="character" w:customStyle="1" w:styleId="44">
    <w:name w:val="ꌢ 2 Char"/>
    <w:link w:val="45"/>
    <w:autoRedefine/>
    <w:qFormat/>
    <w:uiPriority w:val="0"/>
    <w:rPr>
      <w:rFonts w:ascii="Arial" w:hAnsi="Arial"/>
      <w:b/>
      <w:bCs/>
      <w:lang w:bidi="ar-SA"/>
    </w:rPr>
  </w:style>
  <w:style w:type="paragraph" w:customStyle="1" w:styleId="45">
    <w:name w:val="ꌢ 2"/>
    <w:basedOn w:val="1"/>
    <w:link w:val="44"/>
    <w:autoRedefine/>
    <w:qFormat/>
    <w:uiPriority w:val="0"/>
    <w:pPr>
      <w:widowControl/>
    </w:pPr>
    <w:rPr>
      <w:rFonts w:ascii="Arial" w:hAnsi="Arial"/>
      <w:b/>
      <w:bCs/>
      <w:kern w:val="0"/>
      <w:sz w:val="20"/>
      <w:szCs w:val="20"/>
    </w:rPr>
  </w:style>
  <w:style w:type="character" w:customStyle="1" w:styleId="46">
    <w:name w:val="ҳŻ"/>
    <w:link w:val="47"/>
    <w:autoRedefine/>
    <w:qFormat/>
    <w:uiPriority w:val="0"/>
    <w:rPr>
      <w:rFonts w:ascii="Arial" w:hAnsi="Arial" w:eastAsia="宋体" w:cs="Arial"/>
      <w:sz w:val="32"/>
      <w:szCs w:val="32"/>
      <w:lang w:val="en-US" w:eastAsia="zh-CN" w:bidi="ar-SA"/>
    </w:rPr>
  </w:style>
  <w:style w:type="paragraph" w:customStyle="1" w:styleId="47">
    <w:name w:val="ҳŠChar1"/>
    <w:basedOn w:val="1"/>
    <w:link w:val="46"/>
    <w:autoRedefine/>
    <w:qFormat/>
    <w:uiPriority w:val="0"/>
    <w:pPr>
      <w:keepNext/>
      <w:widowControl/>
      <w:spacing w:after="120" w:line="400" w:lineRule="atLeast"/>
      <w:jc w:val="center"/>
    </w:pPr>
    <w:rPr>
      <w:rFonts w:ascii="Arial" w:hAnsi="Arial" w:cs="Arial"/>
      <w:kern w:val="0"/>
      <w:sz w:val="32"/>
      <w:szCs w:val="32"/>
    </w:rPr>
  </w:style>
  <w:style w:type="paragraph" w:customStyle="1" w:styleId="48">
    <w:name w:val="_Style 13"/>
    <w:basedOn w:val="8"/>
    <w:autoRedefine/>
    <w:qFormat/>
    <w:uiPriority w:val="0"/>
  </w:style>
  <w:style w:type="paragraph" w:customStyle="1" w:styleId="49">
    <w:name w:val="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TOC Heading"/>
    <w:basedOn w:val="2"/>
    <w:next w:val="1"/>
    <w:autoRedefine/>
    <w:qFormat/>
    <w:uiPriority w:val="39"/>
    <w:pPr>
      <w:keepNext/>
      <w:keepLines/>
      <w:spacing w:before="480" w:after="0" w:line="276" w:lineRule="auto"/>
      <w:jc w:val="left"/>
      <w:outlineLvl w:val="9"/>
    </w:pPr>
    <w:rPr>
      <w:rFonts w:ascii="Cambria" w:hAnsi="Cambria" w:cs="Times New Roman"/>
      <w:color w:val="365F91"/>
      <w:kern w:val="0"/>
      <w:sz w:val="28"/>
      <w:szCs w:val="28"/>
    </w:rPr>
  </w:style>
  <w:style w:type="paragraph" w:customStyle="1" w:styleId="51">
    <w:name w:val=" Char Char1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2">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3">
    <w:name w:val="msonormal1"/>
    <w:basedOn w:val="1"/>
    <w:autoRedefine/>
    <w:qFormat/>
    <w:uiPriority w:val="0"/>
    <w:pPr>
      <w:widowControl/>
      <w:jc w:val="left"/>
    </w:pPr>
    <w:rPr>
      <w:rFonts w:ascii="Arial" w:hAnsi="Arial" w:cs="Arial"/>
      <w:kern w:val="0"/>
      <w:sz w:val="24"/>
    </w:rPr>
  </w:style>
  <w:style w:type="paragraph" w:customStyle="1" w:styleId="5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styleId="55">
    <w:name w:val="List Paragraph"/>
    <w:basedOn w:val="1"/>
    <w:autoRedefine/>
    <w:qFormat/>
    <w:uiPriority w:val="0"/>
    <w:pPr>
      <w:ind w:firstLine="420" w:firstLineChars="200"/>
    </w:pPr>
  </w:style>
  <w:style w:type="paragraph" w:customStyle="1" w:styleId="56">
    <w:name w:val="Table Paragraph"/>
    <w:basedOn w:val="1"/>
    <w:qFormat/>
    <w:uiPriority w:val="1"/>
    <w:rPr>
      <w:rFonts w:ascii="宋体" w:hAnsi="宋体" w:cs="宋体"/>
      <w:lang w:val="zh-CN" w:bidi="zh-CN"/>
    </w:rPr>
  </w:style>
  <w:style w:type="paragraph" w:customStyle="1" w:styleId="57">
    <w:name w:val="目录"/>
    <w:basedOn w:val="1"/>
    <w:qFormat/>
    <w:uiPriority w:val="99"/>
    <w:pPr>
      <w:widowControl/>
      <w:jc w:val="center"/>
    </w:pPr>
    <w:rPr>
      <w:rFonts w:ascii="宋体" w:hAnsi="Times New Roman"/>
      <w:b/>
      <w:kern w:val="0"/>
      <w:sz w:val="36"/>
      <w:szCs w:val="20"/>
    </w:rPr>
  </w:style>
  <w:style w:type="paragraph" w:customStyle="1" w:styleId="58">
    <w:name w:val="Table Text"/>
    <w:basedOn w:val="1"/>
    <w:semiHidden/>
    <w:qFormat/>
    <w:uiPriority w:val="0"/>
    <w:rPr>
      <w:rFonts w:ascii="仿宋" w:hAnsi="仿宋" w:eastAsia="仿宋" w:cs="仿宋"/>
      <w:sz w:val="28"/>
      <w:szCs w:val="28"/>
      <w:lang w:val="en-US" w:eastAsia="en-US" w:bidi="ar-SA"/>
    </w:rPr>
  </w:style>
  <w:style w:type="table" w:customStyle="1" w:styleId="59">
    <w:name w:val="Table Normal"/>
    <w:semiHidden/>
    <w:unhideWhenUsed/>
    <w:qFormat/>
    <w:uiPriority w:val="0"/>
    <w:tblPr>
      <w:tblCellMar>
        <w:top w:w="0" w:type="dxa"/>
        <w:left w:w="0" w:type="dxa"/>
        <w:bottom w:w="0" w:type="dxa"/>
        <w:right w:w="0" w:type="dxa"/>
      </w:tblCellMar>
    </w:tblPr>
  </w:style>
  <w:style w:type="paragraph" w:customStyle="1" w:styleId="60">
    <w:name w:val="小标"/>
    <w:basedOn w:val="1"/>
    <w:autoRedefine/>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61">
    <w:name w:val="大分"/>
    <w:basedOn w:val="1"/>
    <w:autoRedefine/>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62">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35</Pages>
  <Words>11714</Words>
  <Characters>12272</Characters>
  <Lines>301</Lines>
  <Paragraphs>84</Paragraphs>
  <TotalTime>7</TotalTime>
  <ScaleCrop>false</ScaleCrop>
  <LinksUpToDate>false</LinksUpToDate>
  <CharactersWithSpaces>13375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2023-02-17T08:51:00Z</dcterms:created>
  <dc:creator>User</dc:creator>
  <cp:lastModifiedBy>挑彡拣亖</cp:lastModifiedBy>
  <cp:lastPrinted>2017-06-05T12:23:00Z</cp:lastPrinted>
  <dcterms:modified xsi:type="dcterms:W3CDTF">2026-05-07T07:02:09Z</dcterms:modified>
  <dc:title>封面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81F4C9DC38444A5CA0B8D1B91FAC9E75_13</vt:lpwstr>
  </property>
  <property fmtid="{D5CDD505-2E9C-101B-9397-08002B2CF9AE}" pid="4" name="KSOTemplateDocerSaveRecord">
    <vt:lpwstr>eyJoZGlkIjoiMDhlMmRiY2MyOTQ2NDk4OGNiYmE5YWUyNWUwMTQyMjciLCJ1c2VySWQiOiI2NTc5MDExMzgifQ==</vt:lpwstr>
  </property>
</Properties>
</file>