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0F472">
      <w:pPr>
        <w:spacing w:line="360" w:lineRule="auto"/>
        <w:jc w:val="center"/>
        <w:rPr>
          <w:rFonts w:hint="eastAsia" w:eastAsiaTheme="minorEastAsia"/>
          <w:color w:val="auto"/>
          <w:sz w:val="28"/>
          <w:szCs w:val="28"/>
          <w:highlight w:val="none"/>
          <w:lang w:eastAsia="zh-CN"/>
        </w:rPr>
      </w:pPr>
      <w:r>
        <w:rPr>
          <w:rFonts w:hint="eastAsia"/>
          <w:color w:val="auto"/>
          <w:sz w:val="28"/>
          <w:szCs w:val="28"/>
          <w:highlight w:val="none"/>
          <w:lang w:eastAsia="zh-CN"/>
        </w:rPr>
        <w:t>（</w:t>
      </w:r>
      <w:r>
        <w:rPr>
          <w:rFonts w:hint="eastAsia"/>
          <w:color w:val="auto"/>
          <w:sz w:val="28"/>
          <w:szCs w:val="28"/>
          <w:highlight w:val="none"/>
          <w:lang w:val="en-US" w:eastAsia="zh-CN"/>
        </w:rPr>
        <w:t>仅供参考，最终签订时以招投标文件为依据，以采购人确定的合同文本为准</w:t>
      </w:r>
      <w:r>
        <w:rPr>
          <w:rFonts w:hint="eastAsia"/>
          <w:color w:val="auto"/>
          <w:sz w:val="28"/>
          <w:szCs w:val="28"/>
          <w:highlight w:val="none"/>
          <w:lang w:eastAsia="zh-CN"/>
        </w:rPr>
        <w:t>）</w:t>
      </w:r>
    </w:p>
    <w:p w14:paraId="5AB7B115">
      <w:pPr>
        <w:spacing w:line="360" w:lineRule="auto"/>
        <w:jc w:val="center"/>
        <w:rPr>
          <w:color w:val="auto"/>
          <w:sz w:val="52"/>
          <w:szCs w:val="52"/>
          <w:highlight w:val="none"/>
        </w:rPr>
      </w:pPr>
      <w:r>
        <w:rPr>
          <w:rFonts w:hint="eastAsia"/>
          <w:color w:val="auto"/>
          <w:sz w:val="52"/>
          <w:szCs w:val="52"/>
          <w:highlight w:val="none"/>
        </w:rPr>
        <w:t>政府采购合同</w:t>
      </w:r>
    </w:p>
    <w:p w14:paraId="66559127">
      <w:pPr>
        <w:spacing w:line="360" w:lineRule="auto"/>
        <w:jc w:val="center"/>
        <w:rPr>
          <w:color w:val="auto"/>
          <w:sz w:val="72"/>
          <w:szCs w:val="72"/>
          <w:highlight w:val="none"/>
        </w:rPr>
      </w:pPr>
    </w:p>
    <w:p w14:paraId="330248F6">
      <w:pPr>
        <w:spacing w:line="360" w:lineRule="auto"/>
        <w:jc w:val="center"/>
        <w:rPr>
          <w:color w:val="auto"/>
          <w:sz w:val="72"/>
          <w:szCs w:val="72"/>
          <w:highlight w:val="none"/>
        </w:rPr>
      </w:pPr>
    </w:p>
    <w:p w14:paraId="126BA2E7">
      <w:pPr>
        <w:spacing w:line="360" w:lineRule="auto"/>
        <w:rPr>
          <w:color w:val="auto"/>
          <w:sz w:val="32"/>
          <w:szCs w:val="32"/>
          <w:highlight w:val="none"/>
        </w:rPr>
      </w:pPr>
      <w:r>
        <w:rPr>
          <w:rFonts w:hint="eastAsia"/>
          <w:color w:val="auto"/>
          <w:sz w:val="32"/>
          <w:szCs w:val="32"/>
          <w:highlight w:val="none"/>
        </w:rPr>
        <w:t>项目名称：</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p>
    <w:p w14:paraId="674019DF">
      <w:pPr>
        <w:spacing w:line="360" w:lineRule="auto"/>
        <w:rPr>
          <w:color w:val="auto"/>
          <w:sz w:val="32"/>
          <w:szCs w:val="32"/>
          <w:highlight w:val="none"/>
        </w:rPr>
      </w:pPr>
    </w:p>
    <w:p w14:paraId="7A270F05">
      <w:pPr>
        <w:spacing w:line="360" w:lineRule="auto"/>
        <w:rPr>
          <w:color w:val="auto"/>
          <w:sz w:val="32"/>
          <w:szCs w:val="32"/>
          <w:highlight w:val="none"/>
          <w:u w:val="single"/>
        </w:rPr>
      </w:pPr>
      <w:r>
        <w:rPr>
          <w:rFonts w:hint="eastAsia"/>
          <w:color w:val="auto"/>
          <w:sz w:val="32"/>
          <w:szCs w:val="32"/>
          <w:highlight w:val="none"/>
        </w:rPr>
        <w:t>项目编号：</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p>
    <w:p w14:paraId="2414FF1F">
      <w:pPr>
        <w:spacing w:line="360" w:lineRule="auto"/>
        <w:rPr>
          <w:color w:val="auto"/>
          <w:sz w:val="32"/>
          <w:szCs w:val="32"/>
          <w:highlight w:val="none"/>
          <w:u w:val="single"/>
        </w:rPr>
      </w:pPr>
    </w:p>
    <w:p w14:paraId="11AC3C22">
      <w:pPr>
        <w:spacing w:line="360" w:lineRule="auto"/>
        <w:rPr>
          <w:color w:val="auto"/>
          <w:sz w:val="32"/>
          <w:szCs w:val="32"/>
          <w:highlight w:val="none"/>
          <w:u w:val="single"/>
        </w:rPr>
      </w:pPr>
    </w:p>
    <w:p w14:paraId="69BA7EAD">
      <w:pPr>
        <w:spacing w:line="360" w:lineRule="auto"/>
        <w:rPr>
          <w:color w:val="auto"/>
          <w:sz w:val="32"/>
          <w:szCs w:val="32"/>
          <w:highlight w:val="none"/>
          <w:u w:val="single"/>
        </w:rPr>
      </w:pPr>
    </w:p>
    <w:p w14:paraId="665ADB6B">
      <w:pPr>
        <w:spacing w:line="360" w:lineRule="auto"/>
        <w:rPr>
          <w:color w:val="auto"/>
          <w:sz w:val="32"/>
          <w:szCs w:val="32"/>
          <w:highlight w:val="none"/>
          <w:u w:val="single"/>
        </w:rPr>
      </w:pPr>
    </w:p>
    <w:p w14:paraId="4F8372E7">
      <w:pPr>
        <w:spacing w:line="360" w:lineRule="auto"/>
        <w:rPr>
          <w:color w:val="auto"/>
          <w:sz w:val="32"/>
          <w:szCs w:val="32"/>
          <w:highlight w:val="none"/>
          <w:u w:val="single"/>
        </w:rPr>
      </w:pPr>
    </w:p>
    <w:p w14:paraId="3E1FFC44">
      <w:pPr>
        <w:spacing w:line="360" w:lineRule="auto"/>
        <w:rPr>
          <w:color w:val="auto"/>
          <w:sz w:val="32"/>
          <w:szCs w:val="32"/>
          <w:highlight w:val="none"/>
          <w:u w:val="single"/>
        </w:rPr>
      </w:pPr>
    </w:p>
    <w:p w14:paraId="0D8EBD89">
      <w:pPr>
        <w:spacing w:line="360" w:lineRule="auto"/>
        <w:rPr>
          <w:color w:val="auto"/>
          <w:sz w:val="32"/>
          <w:szCs w:val="32"/>
          <w:highlight w:val="none"/>
          <w:u w:val="single"/>
        </w:rPr>
      </w:pPr>
    </w:p>
    <w:p w14:paraId="4ABCC687">
      <w:pPr>
        <w:spacing w:line="360" w:lineRule="auto"/>
        <w:ind w:firstLine="480" w:firstLineChars="150"/>
        <w:rPr>
          <w:color w:val="auto"/>
          <w:sz w:val="32"/>
          <w:szCs w:val="32"/>
          <w:highlight w:val="none"/>
        </w:rPr>
      </w:pPr>
      <w:r>
        <w:rPr>
          <w:rFonts w:hint="eastAsia"/>
          <w:color w:val="auto"/>
          <w:sz w:val="32"/>
          <w:szCs w:val="32"/>
          <w:highlight w:val="none"/>
        </w:rPr>
        <w:t>采  购  人（甲方）：</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p>
    <w:p w14:paraId="4FB5E505">
      <w:pPr>
        <w:spacing w:line="360" w:lineRule="auto"/>
        <w:jc w:val="center"/>
        <w:rPr>
          <w:color w:val="auto"/>
          <w:sz w:val="32"/>
          <w:szCs w:val="32"/>
          <w:highlight w:val="none"/>
        </w:rPr>
      </w:pPr>
    </w:p>
    <w:p w14:paraId="42B18BF5">
      <w:pPr>
        <w:spacing w:line="360" w:lineRule="auto"/>
        <w:ind w:firstLine="480" w:firstLineChars="150"/>
        <w:rPr>
          <w:color w:val="auto"/>
          <w:sz w:val="32"/>
          <w:szCs w:val="32"/>
          <w:highlight w:val="none"/>
          <w:u w:val="single"/>
        </w:rPr>
      </w:pPr>
      <w:r>
        <w:rPr>
          <w:rFonts w:hint="eastAsia"/>
          <w:color w:val="auto"/>
          <w:sz w:val="32"/>
          <w:szCs w:val="32"/>
          <w:highlight w:val="none"/>
          <w:lang w:val="en-US" w:eastAsia="zh-CN"/>
        </w:rPr>
        <w:t>中  标  人</w:t>
      </w:r>
      <w:r>
        <w:rPr>
          <w:rFonts w:hint="eastAsia"/>
          <w:color w:val="auto"/>
          <w:sz w:val="32"/>
          <w:szCs w:val="32"/>
          <w:highlight w:val="none"/>
        </w:rPr>
        <w:t>（乙方）：</w:t>
      </w:r>
      <w:r>
        <w:rPr>
          <w:rFonts w:hint="eastAsia" w:ascii="宋体" w:hAnsi="宋体" w:cs="宋体"/>
          <w:color w:val="auto"/>
          <w:sz w:val="32"/>
          <w:szCs w:val="32"/>
          <w:highlight w:val="none"/>
          <w:u w:val="single"/>
        </w:rPr>
        <w:t xml:space="preserve"> </w:t>
      </w:r>
      <w:r>
        <w:rPr>
          <w:rFonts w:ascii="宋体" w:hAnsi="宋体" w:cs="宋体"/>
          <w:color w:val="auto"/>
          <w:sz w:val="32"/>
          <w:szCs w:val="32"/>
          <w:highlight w:val="none"/>
          <w:u w:val="single"/>
        </w:rPr>
        <w:t xml:space="preserve"> </w:t>
      </w:r>
      <w:r>
        <w:rPr>
          <w:rFonts w:hint="eastAsia" w:ascii="宋体" w:hAnsi="宋体" w:cs="宋体"/>
          <w:color w:val="auto"/>
          <w:sz w:val="32"/>
          <w:szCs w:val="32"/>
          <w:highlight w:val="none"/>
          <w:u w:val="single"/>
        </w:rPr>
        <w:t xml:space="preserve">                     </w:t>
      </w:r>
    </w:p>
    <w:p w14:paraId="323AB07A">
      <w:pPr>
        <w:spacing w:line="360" w:lineRule="auto"/>
        <w:ind w:firstLine="960" w:firstLineChars="300"/>
        <w:rPr>
          <w:color w:val="auto"/>
          <w:sz w:val="32"/>
          <w:szCs w:val="32"/>
          <w:highlight w:val="none"/>
          <w:u w:val="single"/>
        </w:rPr>
      </w:pPr>
    </w:p>
    <w:p w14:paraId="06B1982B">
      <w:pPr>
        <w:spacing w:line="360" w:lineRule="auto"/>
        <w:jc w:val="center"/>
        <w:outlineLvl w:val="1"/>
        <w:rPr>
          <w:rFonts w:hint="eastAsia" w:ascii="宋体" w:hAnsi="宋体" w:cs="宋体"/>
          <w:color w:val="auto"/>
          <w:sz w:val="32"/>
          <w:szCs w:val="32"/>
          <w:highlight w:val="none"/>
        </w:rPr>
      </w:pPr>
      <w:r>
        <w:rPr>
          <w:rFonts w:hint="eastAsia" w:ascii="宋体" w:hAnsi="宋体" w:cs="宋体"/>
          <w:color w:val="auto"/>
          <w:sz w:val="32"/>
          <w:szCs w:val="32"/>
          <w:highlight w:val="none"/>
        </w:rPr>
        <w:t>日期：   年   月</w:t>
      </w:r>
    </w:p>
    <w:p w14:paraId="1E4680EB">
      <w:pPr>
        <w:spacing w:line="360" w:lineRule="auto"/>
        <w:jc w:val="center"/>
        <w:outlineLvl w:val="1"/>
        <w:rPr>
          <w:rFonts w:hint="eastAsia" w:ascii="宋体" w:hAnsi="宋体" w:cs="宋体"/>
          <w:color w:val="auto"/>
          <w:sz w:val="32"/>
          <w:szCs w:val="32"/>
          <w:highlight w:val="none"/>
        </w:rPr>
      </w:pPr>
    </w:p>
    <w:p w14:paraId="668B9773">
      <w:pPr>
        <w:spacing w:line="360" w:lineRule="auto"/>
        <w:jc w:val="center"/>
        <w:outlineLvl w:val="1"/>
        <w:rPr>
          <w:rFonts w:ascii="宋体" w:hAnsi="宋体" w:cs="宋体"/>
          <w:color w:val="auto"/>
          <w:sz w:val="32"/>
          <w:szCs w:val="32"/>
          <w:highlight w:val="none"/>
        </w:rPr>
      </w:pPr>
      <w:bookmarkStart w:id="233" w:name="_GoBack"/>
      <w:bookmarkEnd w:id="233"/>
      <w:r>
        <w:rPr>
          <w:rFonts w:hint="eastAsia" w:ascii="宋体" w:hAnsi="宋体" w:cs="宋体"/>
          <w:color w:val="auto"/>
          <w:sz w:val="32"/>
          <w:szCs w:val="32"/>
          <w:highlight w:val="none"/>
        </w:rPr>
        <w:t>政府采购合同</w:t>
      </w:r>
    </w:p>
    <w:p w14:paraId="0518EAA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年</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月</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日</w:t>
      </w:r>
      <w:r>
        <w:rPr>
          <w:rFonts w:hint="eastAsia" w:ascii="宋体" w:hAnsi="宋体" w:cs="宋体"/>
          <w:color w:val="auto"/>
          <w:sz w:val="24"/>
          <w:highlight w:val="none"/>
        </w:rPr>
        <w:t>，（</w:t>
      </w:r>
      <w:r>
        <w:rPr>
          <w:rFonts w:hint="eastAsia" w:ascii="宋体" w:hAnsi="宋体" w:cs="宋体"/>
          <w:color w:val="auto"/>
          <w:sz w:val="24"/>
          <w:highlight w:val="none"/>
          <w:u w:val="single"/>
        </w:rPr>
        <w:t>采购人名称</w:t>
      </w:r>
      <w:r>
        <w:rPr>
          <w:rFonts w:hint="eastAsia" w:ascii="宋体" w:hAnsi="宋体" w:cs="宋体"/>
          <w:color w:val="auto"/>
          <w:sz w:val="24"/>
          <w:highlight w:val="none"/>
        </w:rPr>
        <w:t>）（以下简称“甲方”）以公开招标方式对（</w:t>
      </w:r>
      <w:r>
        <w:rPr>
          <w:rFonts w:hint="eastAsia" w:ascii="宋体" w:hAnsi="宋体" w:cs="宋体"/>
          <w:color w:val="auto"/>
          <w:sz w:val="24"/>
          <w:highlight w:val="none"/>
          <w:u w:val="single"/>
        </w:rPr>
        <w:t xml:space="preserve">项目名称 </w:t>
      </w:r>
      <w:r>
        <w:rPr>
          <w:rFonts w:hint="eastAsia" w:ascii="宋体" w:hAnsi="宋体" w:cs="宋体"/>
          <w:color w:val="auto"/>
          <w:sz w:val="24"/>
          <w:highlight w:val="none"/>
        </w:rPr>
        <w:t>）（项目编号：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）进行了采购。经评标委员会评定，（</w:t>
      </w:r>
      <w:r>
        <w:rPr>
          <w:rFonts w:hint="eastAsia" w:ascii="宋体" w:hAnsi="宋体" w:cs="宋体"/>
          <w:color w:val="auto"/>
          <w:sz w:val="24"/>
          <w:highlight w:val="none"/>
          <w:u w:val="single"/>
        </w:rPr>
        <w:t xml:space="preserve">中标人名称 </w:t>
      </w:r>
      <w:r>
        <w:rPr>
          <w:rFonts w:hint="eastAsia" w:ascii="宋体" w:hAnsi="宋体" w:cs="宋体"/>
          <w:color w:val="auto"/>
          <w:sz w:val="24"/>
          <w:highlight w:val="none"/>
        </w:rPr>
        <w:t>）（以下简称“乙方”）为该项目中标人。现于中标通知书发出之日起</w:t>
      </w:r>
      <w:r>
        <w:rPr>
          <w:rFonts w:hint="eastAsia" w:ascii="宋体" w:hAnsi="宋体" w:cs="宋体"/>
          <w:color w:val="auto"/>
          <w:sz w:val="24"/>
          <w:highlight w:val="none"/>
          <w:lang w:val="en-US" w:eastAsia="zh-CN"/>
        </w:rPr>
        <w:t>二</w:t>
      </w: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五</w:t>
      </w:r>
      <w:r>
        <w:rPr>
          <w:rFonts w:hint="eastAsia" w:ascii="宋体" w:hAnsi="宋体" w:cs="宋体"/>
          <w:color w:val="auto"/>
          <w:sz w:val="24"/>
          <w:highlight w:val="none"/>
        </w:rPr>
        <w:t>日内，按照采购文件确定的事项签订本合同。</w:t>
      </w:r>
    </w:p>
    <w:p w14:paraId="56D4E50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根据《中华人民共和国民法典》、《中华人民共和国政府采购法》等相关法律法规之规定，按照平等、自愿、公平和诚实信用的原则，经甲方和乙方协商一致，约定以下合同</w:t>
      </w:r>
      <w:r>
        <w:rPr>
          <w:rFonts w:hint="eastAsia" w:ascii="宋体" w:hAnsi="宋体" w:cs="宋体"/>
          <w:color w:val="auto"/>
          <w:sz w:val="24"/>
          <w:highlight w:val="none"/>
        </w:rPr>
        <w:t>条款，以兹共同遵守、全面履行。</w:t>
      </w:r>
    </w:p>
    <w:p w14:paraId="68E48235">
      <w:pPr>
        <w:spacing w:line="360" w:lineRule="auto"/>
        <w:ind w:firstLine="482" w:firstLineChars="200"/>
        <w:rPr>
          <w:rFonts w:ascii="宋体" w:hAnsi="宋体" w:cs="宋体"/>
          <w:b/>
          <w:bCs/>
          <w:color w:val="auto"/>
          <w:sz w:val="24"/>
          <w:highlight w:val="none"/>
        </w:rPr>
      </w:pPr>
      <w:bookmarkStart w:id="0" w:name="_Toc27743"/>
      <w:bookmarkStart w:id="1" w:name="_Toc3029"/>
      <w:bookmarkStart w:id="2" w:name="_Toc24059"/>
      <w:bookmarkStart w:id="3" w:name="_Toc2232"/>
      <w:bookmarkStart w:id="4" w:name="_Toc17016"/>
      <w:r>
        <w:rPr>
          <w:rFonts w:hint="eastAsia" w:ascii="宋体" w:hAnsi="宋体" w:cs="宋体"/>
          <w:b/>
          <w:bCs/>
          <w:color w:val="auto"/>
          <w:sz w:val="24"/>
          <w:highlight w:val="none"/>
        </w:rPr>
        <w:t>1.1合同组成部分</w:t>
      </w:r>
      <w:bookmarkEnd w:id="0"/>
      <w:bookmarkEnd w:id="1"/>
      <w:bookmarkEnd w:id="2"/>
      <w:bookmarkEnd w:id="3"/>
      <w:bookmarkEnd w:id="4"/>
    </w:p>
    <w:p w14:paraId="7CBC91F6">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下列文件为本合同的组成部分，并构成一个整体，需综合解释、相互补充。</w:t>
      </w:r>
      <w:r>
        <w:rPr>
          <w:rFonts w:hint="eastAsia" w:ascii="宋体" w:hAnsi="宋体" w:cs="宋体"/>
          <w:color w:val="auto"/>
          <w:sz w:val="24"/>
          <w:highlight w:val="none"/>
          <w:lang w:val="zh-CN"/>
        </w:rPr>
        <w:t>如果下列文件内容出现不一致的情形，那么在保证按照采购文件确定的事项的前提下，组成本合同的多个文件的优先适用顺序如下：</w:t>
      </w:r>
    </w:p>
    <w:p w14:paraId="79DA0E18">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1.1.1本合同及其补充合同、变更协议；</w:t>
      </w:r>
    </w:p>
    <w:p w14:paraId="4111562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1.1.2</w:t>
      </w:r>
      <w:r>
        <w:rPr>
          <w:rFonts w:hint="eastAsia" w:ascii="宋体" w:hAnsi="宋体" w:cs="宋体"/>
          <w:color w:val="auto"/>
          <w:sz w:val="24"/>
          <w:highlight w:val="none"/>
        </w:rPr>
        <w:t>中标</w:t>
      </w:r>
      <w:r>
        <w:rPr>
          <w:rFonts w:hint="eastAsia" w:ascii="宋体" w:hAnsi="宋体" w:cs="宋体"/>
          <w:color w:val="auto"/>
          <w:sz w:val="24"/>
          <w:highlight w:val="none"/>
          <w:lang w:val="zh-CN"/>
        </w:rPr>
        <w:t>通知书；</w:t>
      </w:r>
    </w:p>
    <w:p w14:paraId="1DF2449D">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1.1.3</w:t>
      </w:r>
      <w:r>
        <w:rPr>
          <w:rFonts w:hint="eastAsia" w:ascii="宋体" w:hAnsi="宋体" w:cs="宋体"/>
          <w:color w:val="auto"/>
          <w:sz w:val="24"/>
          <w:highlight w:val="none"/>
        </w:rPr>
        <w:t>投标文件</w:t>
      </w:r>
      <w:r>
        <w:rPr>
          <w:rFonts w:hint="eastAsia" w:ascii="宋体" w:hAnsi="宋体" w:cs="宋体"/>
          <w:color w:val="auto"/>
          <w:sz w:val="24"/>
          <w:highlight w:val="none"/>
          <w:lang w:val="zh-CN"/>
        </w:rPr>
        <w:t>（含澄清或者说明文件）；</w:t>
      </w:r>
    </w:p>
    <w:p w14:paraId="2C10989D">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1.1.4</w:t>
      </w:r>
      <w:r>
        <w:rPr>
          <w:rFonts w:hint="eastAsia" w:ascii="宋体" w:hAnsi="宋体" w:cs="宋体"/>
          <w:color w:val="auto"/>
          <w:sz w:val="24"/>
          <w:highlight w:val="none"/>
        </w:rPr>
        <w:t>招标</w:t>
      </w:r>
      <w:r>
        <w:rPr>
          <w:rFonts w:hint="eastAsia" w:ascii="宋体" w:hAnsi="宋体" w:cs="宋体"/>
          <w:color w:val="auto"/>
          <w:sz w:val="24"/>
          <w:highlight w:val="none"/>
          <w:lang w:val="zh-CN"/>
        </w:rPr>
        <w:t>文件（含澄清或者修改文件）；</w:t>
      </w:r>
    </w:p>
    <w:p w14:paraId="5F7C3D6F">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1.1.5其他相关采购文件。</w:t>
      </w:r>
    </w:p>
    <w:p w14:paraId="54CB5693">
      <w:pPr>
        <w:spacing w:line="360" w:lineRule="auto"/>
        <w:ind w:firstLine="482" w:firstLineChars="200"/>
        <w:rPr>
          <w:rFonts w:ascii="宋体" w:hAnsi="宋体" w:cs="宋体"/>
          <w:b/>
          <w:bCs/>
          <w:color w:val="auto"/>
          <w:sz w:val="24"/>
          <w:highlight w:val="none"/>
        </w:rPr>
      </w:pPr>
      <w:bookmarkStart w:id="5" w:name="_Toc24300"/>
      <w:bookmarkStart w:id="6" w:name="_Toc12433"/>
      <w:bookmarkStart w:id="7" w:name="_Toc21295"/>
      <w:bookmarkStart w:id="8" w:name="_Toc27126"/>
      <w:r>
        <w:rPr>
          <w:rFonts w:hint="eastAsia" w:ascii="宋体" w:hAnsi="宋体" w:cs="宋体"/>
          <w:b/>
          <w:bCs/>
          <w:color w:val="auto"/>
          <w:sz w:val="24"/>
          <w:highlight w:val="none"/>
        </w:rPr>
        <w:t>1.2货物</w:t>
      </w:r>
      <w:bookmarkEnd w:id="5"/>
      <w:bookmarkEnd w:id="6"/>
      <w:bookmarkEnd w:id="7"/>
      <w:bookmarkEnd w:id="8"/>
    </w:p>
    <w:p w14:paraId="177ACB0D">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1.2.1货物名称：</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w:t>
      </w:r>
    </w:p>
    <w:p w14:paraId="3DA5FE41">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1.2.2货物数量：</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w:t>
      </w:r>
    </w:p>
    <w:p w14:paraId="00D8D2D1">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1.2.3货物质量：</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w:t>
      </w:r>
    </w:p>
    <w:p w14:paraId="24B484A6">
      <w:pPr>
        <w:spacing w:line="360" w:lineRule="auto"/>
        <w:ind w:firstLine="482" w:firstLineChars="200"/>
        <w:rPr>
          <w:rFonts w:ascii="宋体" w:hAnsi="宋体" w:cs="宋体"/>
          <w:b/>
          <w:bCs/>
          <w:color w:val="auto"/>
          <w:sz w:val="24"/>
          <w:highlight w:val="none"/>
        </w:rPr>
      </w:pPr>
      <w:bookmarkStart w:id="9" w:name="_Toc21631"/>
      <w:bookmarkStart w:id="10" w:name="_Toc2609"/>
      <w:bookmarkStart w:id="11" w:name="_Toc21551"/>
      <w:bookmarkStart w:id="12" w:name="_Toc23292"/>
      <w:bookmarkStart w:id="13" w:name="_Toc20892"/>
      <w:r>
        <w:rPr>
          <w:rFonts w:hint="eastAsia" w:ascii="宋体" w:hAnsi="宋体" w:cs="宋体"/>
          <w:b/>
          <w:bCs/>
          <w:color w:val="auto"/>
          <w:sz w:val="24"/>
          <w:highlight w:val="none"/>
        </w:rPr>
        <w:t>1.3价款</w:t>
      </w:r>
      <w:bookmarkEnd w:id="9"/>
      <w:bookmarkEnd w:id="10"/>
      <w:bookmarkEnd w:id="11"/>
      <w:bookmarkEnd w:id="12"/>
      <w:bookmarkEnd w:id="13"/>
    </w:p>
    <w:p w14:paraId="4101E180">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本合同总价为：￥元（大写：元人民币）。</w:t>
      </w:r>
    </w:p>
    <w:p w14:paraId="688D9B56">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分项价格：</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4252"/>
        <w:gridCol w:w="2268"/>
      </w:tblGrid>
      <w:tr w14:paraId="7B50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65" w:type="dxa"/>
            <w:vAlign w:val="center"/>
          </w:tcPr>
          <w:p w14:paraId="00FF1BC4">
            <w:pPr>
              <w:pStyle w:val="25"/>
              <w:spacing w:line="360" w:lineRule="auto"/>
              <w:jc w:val="center"/>
              <w:rPr>
                <w:rFonts w:hAnsi="宋体" w:cs="宋体"/>
                <w:color w:val="auto"/>
                <w:sz w:val="24"/>
                <w:szCs w:val="24"/>
                <w:highlight w:val="none"/>
              </w:rPr>
            </w:pPr>
            <w:r>
              <w:rPr>
                <w:rFonts w:hint="eastAsia" w:hAnsi="宋体" w:cs="宋体"/>
                <w:color w:val="auto"/>
                <w:sz w:val="24"/>
                <w:szCs w:val="24"/>
                <w:highlight w:val="none"/>
              </w:rPr>
              <w:t>序号</w:t>
            </w:r>
          </w:p>
        </w:tc>
        <w:tc>
          <w:tcPr>
            <w:tcW w:w="4252" w:type="dxa"/>
            <w:vAlign w:val="center"/>
          </w:tcPr>
          <w:p w14:paraId="38D6D81D">
            <w:pPr>
              <w:pStyle w:val="25"/>
              <w:spacing w:line="360" w:lineRule="auto"/>
              <w:jc w:val="center"/>
              <w:rPr>
                <w:rFonts w:hAnsi="宋体" w:cs="宋体"/>
                <w:color w:val="auto"/>
                <w:sz w:val="24"/>
                <w:szCs w:val="24"/>
                <w:highlight w:val="none"/>
              </w:rPr>
            </w:pPr>
            <w:r>
              <w:rPr>
                <w:rFonts w:hint="eastAsia" w:hAnsi="宋体" w:cs="宋体"/>
                <w:color w:val="auto"/>
                <w:sz w:val="24"/>
                <w:szCs w:val="24"/>
                <w:highlight w:val="none"/>
              </w:rPr>
              <w:t>分项名称</w:t>
            </w:r>
          </w:p>
        </w:tc>
        <w:tc>
          <w:tcPr>
            <w:tcW w:w="2268" w:type="dxa"/>
            <w:vAlign w:val="center"/>
          </w:tcPr>
          <w:p w14:paraId="5FAD24F2">
            <w:pPr>
              <w:pStyle w:val="25"/>
              <w:spacing w:line="360" w:lineRule="auto"/>
              <w:jc w:val="center"/>
              <w:rPr>
                <w:rFonts w:hAnsi="宋体" w:cs="宋体"/>
                <w:color w:val="auto"/>
                <w:sz w:val="24"/>
                <w:szCs w:val="24"/>
                <w:highlight w:val="none"/>
              </w:rPr>
            </w:pPr>
            <w:r>
              <w:rPr>
                <w:rFonts w:hint="eastAsia" w:hAnsi="宋体" w:cs="宋体"/>
                <w:color w:val="auto"/>
                <w:sz w:val="24"/>
                <w:szCs w:val="24"/>
                <w:highlight w:val="none"/>
              </w:rPr>
              <w:t>分项价格</w:t>
            </w:r>
          </w:p>
        </w:tc>
      </w:tr>
      <w:tr w14:paraId="2182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65" w:type="dxa"/>
            <w:vAlign w:val="center"/>
          </w:tcPr>
          <w:p w14:paraId="76DFD20D">
            <w:pPr>
              <w:pStyle w:val="25"/>
              <w:spacing w:line="360" w:lineRule="auto"/>
              <w:ind w:firstLine="480"/>
              <w:jc w:val="center"/>
              <w:rPr>
                <w:rFonts w:hAnsi="宋体" w:cs="宋体"/>
                <w:color w:val="auto"/>
                <w:sz w:val="24"/>
                <w:szCs w:val="24"/>
                <w:highlight w:val="none"/>
              </w:rPr>
            </w:pPr>
          </w:p>
        </w:tc>
        <w:tc>
          <w:tcPr>
            <w:tcW w:w="4252" w:type="dxa"/>
            <w:vAlign w:val="center"/>
          </w:tcPr>
          <w:p w14:paraId="22A87782">
            <w:pPr>
              <w:pStyle w:val="25"/>
              <w:spacing w:line="360" w:lineRule="auto"/>
              <w:ind w:firstLine="480"/>
              <w:jc w:val="center"/>
              <w:rPr>
                <w:rFonts w:hAnsi="宋体" w:cs="宋体"/>
                <w:color w:val="auto"/>
                <w:sz w:val="24"/>
                <w:szCs w:val="24"/>
                <w:highlight w:val="none"/>
              </w:rPr>
            </w:pPr>
          </w:p>
        </w:tc>
        <w:tc>
          <w:tcPr>
            <w:tcW w:w="2268" w:type="dxa"/>
            <w:vAlign w:val="center"/>
          </w:tcPr>
          <w:p w14:paraId="6ECF5F40">
            <w:pPr>
              <w:pStyle w:val="25"/>
              <w:spacing w:line="360" w:lineRule="auto"/>
              <w:ind w:firstLine="480"/>
              <w:jc w:val="center"/>
              <w:rPr>
                <w:rFonts w:hAnsi="宋体" w:cs="宋体"/>
                <w:color w:val="auto"/>
                <w:sz w:val="24"/>
                <w:szCs w:val="24"/>
                <w:highlight w:val="none"/>
              </w:rPr>
            </w:pPr>
          </w:p>
        </w:tc>
      </w:tr>
      <w:tr w14:paraId="4956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65" w:type="dxa"/>
            <w:vAlign w:val="center"/>
          </w:tcPr>
          <w:p w14:paraId="605F324B">
            <w:pPr>
              <w:pStyle w:val="25"/>
              <w:spacing w:line="360" w:lineRule="auto"/>
              <w:ind w:firstLine="480"/>
              <w:jc w:val="center"/>
              <w:rPr>
                <w:rFonts w:hAnsi="宋体" w:cs="宋体"/>
                <w:color w:val="auto"/>
                <w:sz w:val="24"/>
                <w:szCs w:val="24"/>
                <w:highlight w:val="none"/>
              </w:rPr>
            </w:pPr>
          </w:p>
        </w:tc>
        <w:tc>
          <w:tcPr>
            <w:tcW w:w="4252" w:type="dxa"/>
            <w:vAlign w:val="center"/>
          </w:tcPr>
          <w:p w14:paraId="0BBC2BBE">
            <w:pPr>
              <w:pStyle w:val="25"/>
              <w:spacing w:line="360" w:lineRule="auto"/>
              <w:ind w:firstLine="480"/>
              <w:jc w:val="center"/>
              <w:rPr>
                <w:rFonts w:hAnsi="宋体" w:cs="宋体"/>
                <w:color w:val="auto"/>
                <w:sz w:val="24"/>
                <w:szCs w:val="24"/>
                <w:highlight w:val="none"/>
              </w:rPr>
            </w:pPr>
          </w:p>
        </w:tc>
        <w:tc>
          <w:tcPr>
            <w:tcW w:w="2268" w:type="dxa"/>
            <w:vAlign w:val="center"/>
          </w:tcPr>
          <w:p w14:paraId="08832548">
            <w:pPr>
              <w:pStyle w:val="25"/>
              <w:spacing w:line="360" w:lineRule="auto"/>
              <w:ind w:firstLine="480"/>
              <w:jc w:val="center"/>
              <w:rPr>
                <w:rFonts w:hAnsi="宋体" w:cs="宋体"/>
                <w:color w:val="auto"/>
                <w:sz w:val="24"/>
                <w:szCs w:val="24"/>
                <w:highlight w:val="none"/>
              </w:rPr>
            </w:pPr>
          </w:p>
        </w:tc>
      </w:tr>
      <w:tr w14:paraId="7410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65" w:type="dxa"/>
            <w:vAlign w:val="center"/>
          </w:tcPr>
          <w:p w14:paraId="2D1C12A1">
            <w:pPr>
              <w:pStyle w:val="25"/>
              <w:spacing w:line="360" w:lineRule="auto"/>
              <w:ind w:firstLine="480"/>
              <w:jc w:val="center"/>
              <w:rPr>
                <w:rFonts w:hAnsi="宋体" w:cs="宋体"/>
                <w:color w:val="auto"/>
                <w:sz w:val="24"/>
                <w:szCs w:val="24"/>
                <w:highlight w:val="none"/>
              </w:rPr>
            </w:pPr>
          </w:p>
        </w:tc>
        <w:tc>
          <w:tcPr>
            <w:tcW w:w="4252" w:type="dxa"/>
            <w:vAlign w:val="center"/>
          </w:tcPr>
          <w:p w14:paraId="0CDF3F1D">
            <w:pPr>
              <w:pStyle w:val="25"/>
              <w:spacing w:line="360" w:lineRule="auto"/>
              <w:ind w:firstLine="480"/>
              <w:jc w:val="center"/>
              <w:rPr>
                <w:rFonts w:hAnsi="宋体" w:cs="宋体"/>
                <w:color w:val="auto"/>
                <w:sz w:val="24"/>
                <w:szCs w:val="24"/>
                <w:highlight w:val="none"/>
              </w:rPr>
            </w:pPr>
          </w:p>
        </w:tc>
        <w:tc>
          <w:tcPr>
            <w:tcW w:w="2268" w:type="dxa"/>
            <w:vAlign w:val="center"/>
          </w:tcPr>
          <w:p w14:paraId="39535FEF">
            <w:pPr>
              <w:pStyle w:val="25"/>
              <w:spacing w:line="360" w:lineRule="auto"/>
              <w:ind w:firstLine="480"/>
              <w:jc w:val="center"/>
              <w:rPr>
                <w:rFonts w:hAnsi="宋体" w:cs="宋体"/>
                <w:color w:val="auto"/>
                <w:sz w:val="24"/>
                <w:szCs w:val="24"/>
                <w:highlight w:val="none"/>
              </w:rPr>
            </w:pPr>
          </w:p>
        </w:tc>
      </w:tr>
      <w:tr w14:paraId="5749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65" w:type="dxa"/>
            <w:vAlign w:val="center"/>
          </w:tcPr>
          <w:p w14:paraId="79462BC5">
            <w:pPr>
              <w:pStyle w:val="25"/>
              <w:spacing w:line="360" w:lineRule="auto"/>
              <w:ind w:firstLine="480"/>
              <w:jc w:val="center"/>
              <w:rPr>
                <w:rFonts w:hAnsi="宋体" w:cs="宋体"/>
                <w:color w:val="auto"/>
                <w:sz w:val="24"/>
                <w:szCs w:val="24"/>
                <w:highlight w:val="none"/>
              </w:rPr>
            </w:pPr>
          </w:p>
        </w:tc>
        <w:tc>
          <w:tcPr>
            <w:tcW w:w="4252" w:type="dxa"/>
            <w:vAlign w:val="center"/>
          </w:tcPr>
          <w:p w14:paraId="0DEAA57F">
            <w:pPr>
              <w:pStyle w:val="25"/>
              <w:spacing w:line="360" w:lineRule="auto"/>
              <w:ind w:firstLine="480"/>
              <w:jc w:val="center"/>
              <w:rPr>
                <w:rFonts w:hAnsi="宋体" w:cs="宋体"/>
                <w:color w:val="auto"/>
                <w:sz w:val="24"/>
                <w:szCs w:val="24"/>
                <w:highlight w:val="none"/>
              </w:rPr>
            </w:pPr>
          </w:p>
        </w:tc>
        <w:tc>
          <w:tcPr>
            <w:tcW w:w="2268" w:type="dxa"/>
            <w:vAlign w:val="center"/>
          </w:tcPr>
          <w:p w14:paraId="5EB62B8D">
            <w:pPr>
              <w:pStyle w:val="25"/>
              <w:spacing w:line="360" w:lineRule="auto"/>
              <w:ind w:firstLine="480"/>
              <w:jc w:val="center"/>
              <w:rPr>
                <w:rFonts w:hAnsi="宋体" w:cs="宋体"/>
                <w:color w:val="auto"/>
                <w:sz w:val="24"/>
                <w:szCs w:val="24"/>
                <w:highlight w:val="none"/>
              </w:rPr>
            </w:pPr>
          </w:p>
        </w:tc>
      </w:tr>
      <w:tr w14:paraId="4AE4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617" w:type="dxa"/>
            <w:gridSpan w:val="2"/>
            <w:vAlign w:val="center"/>
          </w:tcPr>
          <w:p w14:paraId="78855145">
            <w:pPr>
              <w:pStyle w:val="25"/>
              <w:spacing w:line="360" w:lineRule="auto"/>
              <w:ind w:firstLine="480"/>
              <w:jc w:val="center"/>
              <w:rPr>
                <w:rFonts w:hAnsi="宋体" w:cs="宋体"/>
                <w:color w:val="auto"/>
                <w:sz w:val="24"/>
                <w:szCs w:val="24"/>
                <w:highlight w:val="none"/>
              </w:rPr>
            </w:pPr>
            <w:r>
              <w:rPr>
                <w:rFonts w:hint="eastAsia" w:hAnsi="宋体" w:cs="宋体"/>
                <w:color w:val="auto"/>
                <w:sz w:val="24"/>
                <w:szCs w:val="24"/>
                <w:highlight w:val="none"/>
              </w:rPr>
              <w:t>总价</w:t>
            </w:r>
          </w:p>
        </w:tc>
        <w:tc>
          <w:tcPr>
            <w:tcW w:w="2268" w:type="dxa"/>
            <w:vAlign w:val="center"/>
          </w:tcPr>
          <w:p w14:paraId="3A13423F">
            <w:pPr>
              <w:pStyle w:val="25"/>
              <w:spacing w:line="360" w:lineRule="auto"/>
              <w:ind w:firstLine="480"/>
              <w:jc w:val="center"/>
              <w:rPr>
                <w:rFonts w:hAnsi="宋体" w:cs="宋体"/>
                <w:color w:val="auto"/>
                <w:sz w:val="24"/>
                <w:szCs w:val="24"/>
                <w:highlight w:val="none"/>
              </w:rPr>
            </w:pPr>
          </w:p>
        </w:tc>
      </w:tr>
    </w:tbl>
    <w:p w14:paraId="169386B7">
      <w:pPr>
        <w:spacing w:line="360" w:lineRule="auto"/>
        <w:ind w:firstLine="482" w:firstLineChars="200"/>
        <w:rPr>
          <w:rFonts w:ascii="宋体" w:hAnsi="宋体" w:cs="宋体"/>
          <w:b/>
          <w:bCs/>
          <w:color w:val="auto"/>
          <w:sz w:val="24"/>
          <w:highlight w:val="none"/>
        </w:rPr>
      </w:pPr>
      <w:bookmarkStart w:id="14" w:name="_Toc10340"/>
      <w:bookmarkStart w:id="15" w:name="_Toc1814"/>
      <w:bookmarkStart w:id="16" w:name="_Toc14984"/>
      <w:bookmarkStart w:id="17" w:name="_Toc23571"/>
      <w:bookmarkStart w:id="18" w:name="_Toc22618"/>
      <w:r>
        <w:rPr>
          <w:rFonts w:hint="eastAsia" w:ascii="宋体" w:hAnsi="宋体" w:cs="宋体"/>
          <w:b/>
          <w:bCs/>
          <w:color w:val="auto"/>
          <w:sz w:val="24"/>
          <w:highlight w:val="none"/>
        </w:rPr>
        <w:t>1.4付款方式和发票开具方式</w:t>
      </w:r>
      <w:bookmarkEnd w:id="14"/>
      <w:bookmarkEnd w:id="15"/>
      <w:bookmarkEnd w:id="16"/>
      <w:bookmarkEnd w:id="17"/>
      <w:bookmarkEnd w:id="18"/>
    </w:p>
    <w:p w14:paraId="340A74A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1.4.1付款方式：</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w:t>
      </w:r>
    </w:p>
    <w:p w14:paraId="3A6805BD">
      <w:pPr>
        <w:spacing w:line="360" w:lineRule="auto"/>
        <w:ind w:firstLine="480" w:firstLineChars="200"/>
        <w:outlineLvl w:val="1"/>
        <w:rPr>
          <w:rFonts w:ascii="宋体" w:hAnsi="宋体" w:cs="宋体"/>
          <w:color w:val="auto"/>
          <w:sz w:val="24"/>
          <w:highlight w:val="none"/>
        </w:rPr>
      </w:pPr>
      <w:r>
        <w:rPr>
          <w:rFonts w:hint="eastAsia" w:ascii="宋体" w:hAnsi="宋体" w:cs="宋体"/>
          <w:color w:val="auto"/>
          <w:sz w:val="24"/>
          <w:highlight w:val="none"/>
        </w:rPr>
        <w:t>中标人承诺在采购人办理支付手续前，为采购人出具等额的符合国家规定的发票；上述时间不包括采购人正常办理支付报批手续的时间。</w:t>
      </w:r>
    </w:p>
    <w:p w14:paraId="0F4B8D6D">
      <w:pPr>
        <w:spacing w:line="360" w:lineRule="auto"/>
        <w:ind w:firstLine="482" w:firstLineChars="200"/>
        <w:rPr>
          <w:rFonts w:ascii="宋体" w:hAnsi="宋体" w:cs="宋体"/>
          <w:b/>
          <w:bCs/>
          <w:color w:val="auto"/>
          <w:sz w:val="24"/>
          <w:highlight w:val="none"/>
        </w:rPr>
      </w:pPr>
      <w:bookmarkStart w:id="19" w:name="_Toc32071"/>
      <w:bookmarkStart w:id="20" w:name="_Toc7370"/>
      <w:bookmarkStart w:id="21" w:name="_Toc19304"/>
      <w:bookmarkStart w:id="22" w:name="_Toc10909"/>
      <w:bookmarkStart w:id="23" w:name="_Toc2846"/>
      <w:r>
        <w:rPr>
          <w:rFonts w:hint="eastAsia" w:ascii="宋体" w:hAnsi="宋体" w:cs="宋体"/>
          <w:b/>
          <w:bCs/>
          <w:color w:val="auto"/>
          <w:sz w:val="24"/>
          <w:highlight w:val="none"/>
        </w:rPr>
        <w:t>1.5货物交付期限、地点和方式</w:t>
      </w:r>
      <w:bookmarkEnd w:id="19"/>
      <w:bookmarkEnd w:id="20"/>
      <w:bookmarkEnd w:id="21"/>
      <w:bookmarkEnd w:id="22"/>
      <w:bookmarkEnd w:id="23"/>
    </w:p>
    <w:p w14:paraId="41154068">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1.5.1交付期限：</w:t>
      </w:r>
    </w:p>
    <w:p w14:paraId="317ABFE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1.5.2交付地点：采购人指定地点。</w:t>
      </w:r>
    </w:p>
    <w:p w14:paraId="2077720B">
      <w:pPr>
        <w:spacing w:line="360" w:lineRule="auto"/>
        <w:ind w:firstLine="482" w:firstLineChars="200"/>
        <w:rPr>
          <w:rFonts w:ascii="宋体" w:hAnsi="宋体" w:cs="宋体"/>
          <w:b/>
          <w:bCs/>
          <w:color w:val="auto"/>
          <w:sz w:val="24"/>
          <w:highlight w:val="none"/>
        </w:rPr>
      </w:pPr>
      <w:bookmarkStart w:id="24" w:name="_Toc19554"/>
      <w:bookmarkStart w:id="25" w:name="_Toc7580"/>
      <w:bookmarkStart w:id="26" w:name="_Toc23398"/>
      <w:bookmarkStart w:id="27" w:name="_Toc21423"/>
      <w:bookmarkStart w:id="28" w:name="_Toc27250"/>
      <w:r>
        <w:rPr>
          <w:rFonts w:hint="eastAsia" w:ascii="宋体" w:hAnsi="宋体" w:cs="宋体"/>
          <w:b/>
          <w:bCs/>
          <w:color w:val="auto"/>
          <w:sz w:val="24"/>
          <w:highlight w:val="none"/>
        </w:rPr>
        <w:t>1.6违约责任</w:t>
      </w:r>
      <w:bookmarkEnd w:id="24"/>
      <w:bookmarkEnd w:id="25"/>
      <w:bookmarkEnd w:id="26"/>
      <w:bookmarkEnd w:id="27"/>
      <w:bookmarkEnd w:id="28"/>
    </w:p>
    <w:p w14:paraId="3F5A0EF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color w:val="auto"/>
          <w:sz w:val="24"/>
          <w:highlight w:val="none"/>
          <w:u w:val="single"/>
        </w:rPr>
        <w:t>0.5</w:t>
      </w:r>
      <w:r>
        <w:rPr>
          <w:rFonts w:hint="eastAsia" w:ascii="宋体" w:hAnsi="宋体" w:cs="宋体"/>
          <w:color w:val="auto"/>
          <w:sz w:val="24"/>
          <w:highlight w:val="none"/>
        </w:rPr>
        <w:t>%计算，最高限额为本合同总价的</w:t>
      </w:r>
      <w:r>
        <w:rPr>
          <w:rFonts w:hint="eastAsia" w:ascii="宋体" w:hAnsi="宋体" w:cs="宋体"/>
          <w:color w:val="auto"/>
          <w:sz w:val="24"/>
          <w:highlight w:val="none"/>
          <w:u w:val="single"/>
        </w:rPr>
        <w:t>5%</w:t>
      </w:r>
      <w:r>
        <w:rPr>
          <w:rFonts w:hint="eastAsia" w:ascii="宋体" w:hAnsi="宋体" w:cs="宋体"/>
          <w:color w:val="auto"/>
          <w:sz w:val="24"/>
          <w:highlight w:val="none"/>
        </w:rPr>
        <w:t>；迟延交付货物的违约金计算数额达到前述最高限额之日起，甲方有权在要求乙方支付违约金的同时，书面通知乙方解除本合同；</w:t>
      </w:r>
    </w:p>
    <w:p w14:paraId="3DD9604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color w:val="auto"/>
          <w:sz w:val="24"/>
          <w:highlight w:val="none"/>
          <w:u w:val="single"/>
        </w:rPr>
        <w:t>0.5%</w:t>
      </w:r>
      <w:r>
        <w:rPr>
          <w:rFonts w:hint="eastAsia" w:ascii="宋体" w:hAnsi="宋体" w:cs="宋体"/>
          <w:color w:val="auto"/>
          <w:sz w:val="24"/>
          <w:highlight w:val="none"/>
        </w:rPr>
        <w:t>计算，最高限额为本合同总价的</w:t>
      </w:r>
      <w:r>
        <w:rPr>
          <w:rFonts w:hint="eastAsia" w:ascii="宋体" w:hAnsi="宋体" w:cs="宋体"/>
          <w:color w:val="auto"/>
          <w:sz w:val="24"/>
          <w:highlight w:val="none"/>
          <w:u w:val="single"/>
        </w:rPr>
        <w:t>5%</w:t>
      </w:r>
      <w:r>
        <w:rPr>
          <w:rFonts w:hint="eastAsia" w:ascii="宋体" w:hAnsi="宋体" w:cs="宋体"/>
          <w:color w:val="auto"/>
          <w:sz w:val="24"/>
          <w:highlight w:val="none"/>
        </w:rPr>
        <w:t>；迟延付款的违约金计算数额达到前述最高限额之日起，迟延付款的违约金计算数额达到前述最高限额之日起，乙方有权在要求甲方支付违约金的同时，书面通知甲方解除本合同；</w:t>
      </w:r>
    </w:p>
    <w:p w14:paraId="7F155E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1D520FF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C7FA07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D27B9E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1.6.6如果出现政府采购监督管理部门在处理投诉事项期间，书面通知甲方暂停采购活动的情形，或者询问或质疑事项可能影响中标（成交）结果的，导致甲方中止履行合同的情形，均不视为甲方违约。</w:t>
      </w:r>
    </w:p>
    <w:p w14:paraId="2E28EBDD">
      <w:pPr>
        <w:spacing w:line="360" w:lineRule="auto"/>
        <w:ind w:firstLine="482" w:firstLineChars="200"/>
        <w:rPr>
          <w:rFonts w:ascii="宋体" w:hAnsi="宋体" w:cs="宋体"/>
          <w:b/>
          <w:bCs/>
          <w:color w:val="auto"/>
          <w:sz w:val="24"/>
          <w:highlight w:val="none"/>
        </w:rPr>
      </w:pPr>
      <w:bookmarkStart w:id="29" w:name="_Toc15583"/>
      <w:bookmarkStart w:id="30" w:name="_Toc26424"/>
      <w:bookmarkStart w:id="31" w:name="_Toc16021"/>
      <w:bookmarkStart w:id="32" w:name="_Toc31257"/>
      <w:bookmarkStart w:id="33" w:name="_Toc28375"/>
      <w:r>
        <w:rPr>
          <w:rFonts w:hint="eastAsia" w:ascii="宋体" w:hAnsi="宋体" w:cs="宋体"/>
          <w:b/>
          <w:bCs/>
          <w:color w:val="auto"/>
          <w:sz w:val="24"/>
          <w:highlight w:val="none"/>
        </w:rPr>
        <w:t>1.7合同争议的解决</w:t>
      </w:r>
      <w:bookmarkEnd w:id="29"/>
      <w:bookmarkEnd w:id="30"/>
      <w:bookmarkEnd w:id="31"/>
      <w:bookmarkEnd w:id="32"/>
      <w:bookmarkEnd w:id="33"/>
    </w:p>
    <w:p w14:paraId="3C3C215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本合同履行过程中发生的任何争议，双方当事人均可通过和解或者调解解决；不愿和解、调解或者和解、调解不成的，可以选择下列第1.7.2种方式解决：</w:t>
      </w:r>
    </w:p>
    <w:p w14:paraId="70B57B61">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1.7.1将争议提交仲裁委员会依申请仲裁时其现行有效的仲裁规则裁决；</w:t>
      </w:r>
    </w:p>
    <w:p w14:paraId="2BA0962F">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1.7.2向</w:t>
      </w:r>
      <w:r>
        <w:rPr>
          <w:rFonts w:hint="eastAsia" w:ascii="宋体" w:hAnsi="宋体" w:cs="宋体"/>
          <w:color w:val="auto"/>
          <w:sz w:val="24"/>
          <w:highlight w:val="none"/>
          <w:u w:val="single"/>
        </w:rPr>
        <w:t xml:space="preserve">   合同签订地   </w:t>
      </w:r>
      <w:r>
        <w:rPr>
          <w:rFonts w:hint="eastAsia" w:ascii="宋体" w:hAnsi="宋体" w:cs="宋体"/>
          <w:color w:val="auto"/>
          <w:sz w:val="24"/>
          <w:highlight w:val="none"/>
        </w:rPr>
        <w:t>人民法院起诉。</w:t>
      </w:r>
    </w:p>
    <w:p w14:paraId="5F7D887D">
      <w:pPr>
        <w:spacing w:line="360" w:lineRule="auto"/>
        <w:ind w:firstLine="482" w:firstLineChars="200"/>
        <w:rPr>
          <w:rFonts w:ascii="宋体" w:hAnsi="宋体" w:cs="宋体"/>
          <w:b/>
          <w:bCs/>
          <w:color w:val="auto"/>
          <w:sz w:val="24"/>
          <w:highlight w:val="none"/>
        </w:rPr>
      </w:pPr>
      <w:bookmarkStart w:id="34" w:name="_Toc15322"/>
      <w:bookmarkStart w:id="35" w:name="_Toc11867"/>
      <w:bookmarkStart w:id="36" w:name="_Toc11173"/>
      <w:bookmarkStart w:id="37" w:name="_Toc7245"/>
      <w:bookmarkStart w:id="38" w:name="_Toc10056"/>
      <w:r>
        <w:rPr>
          <w:rFonts w:hint="eastAsia" w:ascii="宋体" w:hAnsi="宋体" w:cs="宋体"/>
          <w:b/>
          <w:bCs/>
          <w:color w:val="auto"/>
          <w:sz w:val="24"/>
          <w:highlight w:val="none"/>
        </w:rPr>
        <w:t>1.8 合同生效</w:t>
      </w:r>
      <w:bookmarkEnd w:id="34"/>
      <w:bookmarkEnd w:id="35"/>
      <w:bookmarkEnd w:id="36"/>
      <w:bookmarkEnd w:id="37"/>
      <w:bookmarkEnd w:id="38"/>
    </w:p>
    <w:p w14:paraId="56CF324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本合同自双方当事人盖章或者签字时生效。</w:t>
      </w:r>
    </w:p>
    <w:p w14:paraId="42917AAF">
      <w:pPr>
        <w:spacing w:line="360" w:lineRule="auto"/>
        <w:ind w:firstLine="482" w:firstLineChars="200"/>
        <w:rPr>
          <w:rFonts w:ascii="宋体" w:hAnsi="宋体" w:cs="宋体"/>
          <w:b/>
          <w:bCs/>
          <w:color w:val="auto"/>
          <w:sz w:val="24"/>
          <w:highlight w:val="none"/>
        </w:rPr>
      </w:pPr>
      <w:bookmarkStart w:id="39" w:name="_Toc16567"/>
      <w:bookmarkStart w:id="40" w:name="_Toc16990"/>
      <w:r>
        <w:rPr>
          <w:rFonts w:hint="eastAsia" w:ascii="宋体" w:hAnsi="宋体" w:cs="宋体"/>
          <w:b/>
          <w:bCs/>
          <w:color w:val="auto"/>
          <w:sz w:val="24"/>
          <w:highlight w:val="none"/>
          <w:lang w:val="zh-CN"/>
        </w:rPr>
        <w:t>甲方</w:t>
      </w:r>
      <w:r>
        <w:rPr>
          <w:rFonts w:hint="eastAsia" w:ascii="宋体" w:hAnsi="宋体" w:cs="宋体"/>
          <w:b/>
          <w:bCs/>
          <w:color w:val="auto"/>
          <w:sz w:val="24"/>
          <w:highlight w:val="none"/>
        </w:rPr>
        <w:t xml:space="preserve">：                                   </w:t>
      </w:r>
      <w:r>
        <w:rPr>
          <w:rFonts w:hint="eastAsia" w:ascii="宋体" w:hAnsi="宋体" w:cs="宋体"/>
          <w:b/>
          <w:bCs/>
          <w:color w:val="auto"/>
          <w:sz w:val="24"/>
          <w:highlight w:val="none"/>
          <w:lang w:val="zh-CN"/>
        </w:rPr>
        <w:t>乙方</w:t>
      </w:r>
      <w:r>
        <w:rPr>
          <w:rFonts w:hint="eastAsia" w:ascii="宋体" w:hAnsi="宋体" w:cs="宋体"/>
          <w:b/>
          <w:bCs/>
          <w:color w:val="auto"/>
          <w:sz w:val="24"/>
          <w:highlight w:val="none"/>
        </w:rPr>
        <w:t>：</w:t>
      </w:r>
      <w:bookmarkEnd w:id="39"/>
      <w:bookmarkEnd w:id="40"/>
    </w:p>
    <w:p w14:paraId="2238FBFE">
      <w:pPr>
        <w:spacing w:line="360" w:lineRule="auto"/>
        <w:ind w:firstLine="480"/>
        <w:rPr>
          <w:rFonts w:ascii="宋体" w:hAnsi="宋体" w:cs="宋体"/>
          <w:color w:val="auto"/>
          <w:sz w:val="24"/>
          <w:highlight w:val="none"/>
        </w:rPr>
      </w:pPr>
    </w:p>
    <w:p w14:paraId="72011E62">
      <w:pPr>
        <w:spacing w:line="360" w:lineRule="auto"/>
        <w:ind w:firstLine="480"/>
        <w:rPr>
          <w:rFonts w:ascii="宋体" w:hAnsi="宋体" w:cs="宋体"/>
          <w:color w:val="auto"/>
          <w:sz w:val="24"/>
          <w:highlight w:val="none"/>
        </w:rPr>
      </w:pPr>
      <w:r>
        <w:rPr>
          <w:rFonts w:hint="eastAsia" w:ascii="宋体" w:hAnsi="宋体" w:cs="宋体"/>
          <w:color w:val="auto"/>
          <w:sz w:val="24"/>
          <w:highlight w:val="none"/>
          <w:lang w:val="zh-CN"/>
        </w:rPr>
        <w:t>法定代表人或</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val="zh-CN"/>
        </w:rPr>
        <w:t>法定代表人或</w:t>
      </w:r>
    </w:p>
    <w:p w14:paraId="00B3A0B2">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 xml:space="preserve">授权代表（签字）：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val="zh-CN"/>
        </w:rPr>
        <w:t xml:space="preserve">授权代表（签字）: </w:t>
      </w:r>
    </w:p>
    <w:p w14:paraId="18139C8A">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联系人：                                 联系人：</w:t>
      </w:r>
    </w:p>
    <w:p w14:paraId="56DC2841">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 xml:space="preserve">电话:                                    电话: </w:t>
      </w:r>
    </w:p>
    <w:p w14:paraId="13A19E9B">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传真:                                    传真:</w:t>
      </w:r>
    </w:p>
    <w:p w14:paraId="41500EBD">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电子邮箱：                               电子邮箱：</w:t>
      </w:r>
    </w:p>
    <w:p w14:paraId="2C9CF4B3">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 xml:space="preserve">开户银行：                               开户银行： </w:t>
      </w:r>
    </w:p>
    <w:p w14:paraId="0C3D851C">
      <w:pPr>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 xml:space="preserve">开户名称：                               开户名称： </w:t>
      </w:r>
    </w:p>
    <w:p w14:paraId="0291F33E">
      <w:pPr>
        <w:spacing w:line="360" w:lineRule="auto"/>
        <w:ind w:firstLine="480"/>
        <w:rPr>
          <w:rFonts w:ascii="宋体" w:hAnsi="宋体" w:cs="宋体"/>
          <w:b/>
          <w:bCs/>
          <w:color w:val="auto"/>
          <w:sz w:val="24"/>
          <w:highlight w:val="none"/>
        </w:rPr>
      </w:pPr>
      <w:r>
        <w:rPr>
          <w:rFonts w:hint="eastAsia" w:ascii="宋体" w:hAnsi="宋体" w:cs="宋体"/>
          <w:color w:val="auto"/>
          <w:sz w:val="24"/>
          <w:highlight w:val="none"/>
          <w:lang w:val="zh-CN"/>
        </w:rPr>
        <w:t>开户账号：                               开户账号：</w:t>
      </w:r>
    </w:p>
    <w:p w14:paraId="6904CDEC">
      <w:pPr>
        <w:spacing w:line="360" w:lineRule="auto"/>
        <w:jc w:val="center"/>
        <w:outlineLvl w:val="1"/>
        <w:rPr>
          <w:rFonts w:ascii="宋体" w:hAnsi="宋体" w:cs="宋体"/>
          <w:b/>
          <w:color w:val="auto"/>
          <w:sz w:val="24"/>
          <w:highlight w:val="none"/>
        </w:rPr>
      </w:pPr>
      <w:bookmarkStart w:id="41" w:name="_Toc30395"/>
      <w:r>
        <w:rPr>
          <w:rFonts w:hint="eastAsia" w:ascii="宋体" w:hAnsi="宋体" w:cs="宋体"/>
          <w:color w:val="auto"/>
          <w:sz w:val="24"/>
          <w:highlight w:val="none"/>
        </w:rPr>
        <w:br w:type="page"/>
      </w:r>
      <w:bookmarkStart w:id="42" w:name="_Toc10793"/>
      <w:bookmarkStart w:id="43" w:name="_Toc25949"/>
      <w:bookmarkStart w:id="44" w:name="_Toc13453"/>
      <w:bookmarkStart w:id="45" w:name="_Toc6700"/>
      <w:bookmarkStart w:id="46" w:name="_Toc31851"/>
      <w:bookmarkStart w:id="47" w:name="_Toc9912"/>
      <w:r>
        <w:rPr>
          <w:rFonts w:hint="eastAsia" w:ascii="宋体" w:hAnsi="宋体" w:cs="宋体"/>
          <w:b/>
          <w:color w:val="auto"/>
          <w:sz w:val="24"/>
          <w:highlight w:val="none"/>
        </w:rPr>
        <w:t>一、合同一般条款</w:t>
      </w:r>
      <w:bookmarkEnd w:id="41"/>
      <w:bookmarkEnd w:id="42"/>
      <w:bookmarkEnd w:id="43"/>
      <w:bookmarkEnd w:id="44"/>
      <w:bookmarkEnd w:id="45"/>
      <w:bookmarkEnd w:id="46"/>
      <w:bookmarkEnd w:id="47"/>
    </w:p>
    <w:p w14:paraId="549628FA">
      <w:pPr>
        <w:spacing w:line="360" w:lineRule="auto"/>
        <w:ind w:firstLine="482" w:firstLineChars="200"/>
        <w:rPr>
          <w:rFonts w:ascii="宋体" w:hAnsi="宋体" w:cs="宋体"/>
          <w:b/>
          <w:color w:val="auto"/>
          <w:sz w:val="24"/>
          <w:highlight w:val="none"/>
        </w:rPr>
      </w:pPr>
      <w:bookmarkStart w:id="48" w:name="_Ref467378404"/>
      <w:bookmarkStart w:id="49" w:name="_Ref467379109"/>
      <w:bookmarkStart w:id="50" w:name="_Toc28763"/>
      <w:bookmarkStart w:id="51" w:name="_Ref467379094"/>
      <w:bookmarkStart w:id="52" w:name="_Ref467379101"/>
      <w:bookmarkStart w:id="53" w:name="_Toc487900349"/>
      <w:bookmarkStart w:id="54" w:name="_Toc2429"/>
      <w:bookmarkStart w:id="55" w:name="_Toc19614"/>
      <w:bookmarkStart w:id="56" w:name="_Ref467379214"/>
      <w:bookmarkStart w:id="57" w:name="_Ref467379195"/>
      <w:bookmarkStart w:id="58" w:name="_Ref467378499"/>
      <w:bookmarkStart w:id="59" w:name="_Toc13903"/>
      <w:bookmarkStart w:id="60" w:name="_Ref467378463"/>
      <w:bookmarkStart w:id="61" w:name="_Ref467379225"/>
      <w:bookmarkStart w:id="62" w:name="_Toc259093669"/>
      <w:bookmarkStart w:id="63" w:name="_Toc16917"/>
      <w:bookmarkStart w:id="64" w:name="_Ref467379205"/>
      <w:bookmarkStart w:id="65" w:name="_Toc279701240"/>
      <w:r>
        <w:rPr>
          <w:rFonts w:hint="eastAsia" w:ascii="宋体" w:hAnsi="宋体" w:cs="宋体"/>
          <w:b/>
          <w:bCs/>
          <w:color w:val="auto"/>
          <w:sz w:val="24"/>
          <w:highlight w:val="none"/>
        </w:rPr>
        <w:t>2.1定义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6B8127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本合同中的下列词语应按以下内容进行解释：</w:t>
      </w:r>
    </w:p>
    <w:p w14:paraId="52786D6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2.1.1“合同”系指采购人和中标人签订的载明双方当事人所达成的协议，并包括所有的附件、附录和构成合同的其他文件。</w:t>
      </w:r>
    </w:p>
    <w:p w14:paraId="5E5DA4B0">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2.1.2“合同价”系指根据合同约定，中标人在完全履行合同义务后，采购人应支付给中标人的价格。</w:t>
      </w:r>
    </w:p>
    <w:p w14:paraId="5BC74A81">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2.1.3“货物”系指中标人根据合同约定应向采购人交付的一切各种形态和种类的物品，包括原材料、燃料、设备、机械、仪表、备件、计算机软件、产品等，并包括工具、手册等其他相关资料。</w:t>
      </w:r>
    </w:p>
    <w:p w14:paraId="3D7DB718">
      <w:pPr>
        <w:spacing w:line="360" w:lineRule="auto"/>
        <w:ind w:firstLine="480"/>
        <w:rPr>
          <w:rFonts w:ascii="宋体" w:hAnsi="宋体" w:cs="宋体"/>
          <w:color w:val="auto"/>
          <w:sz w:val="24"/>
          <w:highlight w:val="none"/>
        </w:rPr>
      </w:pPr>
      <w:bookmarkStart w:id="66" w:name="_Ref467378840"/>
      <w:r>
        <w:rPr>
          <w:rFonts w:hint="eastAsia" w:ascii="宋体" w:hAnsi="宋体" w:cs="宋体"/>
          <w:color w:val="auto"/>
          <w:sz w:val="24"/>
          <w:highlight w:val="none"/>
        </w:rPr>
        <w:t>2.1.4“甲方”系指与中标人签署合同的采购人</w:t>
      </w:r>
      <w:bookmarkEnd w:id="66"/>
      <w:r>
        <w:rPr>
          <w:rFonts w:hint="eastAsia" w:ascii="宋体" w:hAnsi="宋体" w:cs="宋体"/>
          <w:color w:val="auto"/>
          <w:sz w:val="24"/>
          <w:highlight w:val="none"/>
        </w:rPr>
        <w:t>；采购人委托采购代理机构代表其与乙方签订合同的，采购人的授权委托书作为合同附件。</w:t>
      </w:r>
    </w:p>
    <w:p w14:paraId="38B5E60A">
      <w:pPr>
        <w:spacing w:line="360" w:lineRule="auto"/>
        <w:ind w:firstLine="480"/>
        <w:rPr>
          <w:rFonts w:ascii="宋体" w:hAnsi="宋体" w:cs="宋体"/>
          <w:color w:val="auto"/>
          <w:sz w:val="24"/>
          <w:highlight w:val="none"/>
        </w:rPr>
      </w:pPr>
      <w:bookmarkStart w:id="67" w:name="_Ref467379400"/>
      <w:r>
        <w:rPr>
          <w:rFonts w:hint="eastAsia" w:ascii="宋体" w:hAnsi="宋体" w:cs="宋体"/>
          <w:color w:val="auto"/>
          <w:sz w:val="24"/>
          <w:highlight w:val="none"/>
        </w:rPr>
        <w:t>2.1.5“乙方”系指根据合同约定交付货物的中标人</w:t>
      </w:r>
      <w:bookmarkEnd w:id="67"/>
      <w:r>
        <w:rPr>
          <w:rFonts w:hint="eastAsia" w:ascii="宋体" w:hAnsi="宋体" w:cs="宋体"/>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E6C21F4">
      <w:pPr>
        <w:spacing w:line="360" w:lineRule="auto"/>
        <w:ind w:firstLine="480"/>
        <w:rPr>
          <w:rFonts w:ascii="宋体" w:hAnsi="宋体" w:cs="宋体"/>
          <w:color w:val="auto"/>
          <w:sz w:val="24"/>
          <w:highlight w:val="none"/>
        </w:rPr>
      </w:pPr>
      <w:bookmarkStart w:id="68" w:name="_Ref467379436"/>
      <w:r>
        <w:rPr>
          <w:rFonts w:hint="eastAsia" w:ascii="宋体" w:hAnsi="宋体" w:cs="宋体"/>
          <w:color w:val="auto"/>
          <w:sz w:val="24"/>
          <w:highlight w:val="none"/>
        </w:rPr>
        <w:t>2.1.6“现场”系指合同约定货物将要运至或者安装的地点。</w:t>
      </w:r>
      <w:bookmarkEnd w:id="68"/>
    </w:p>
    <w:p w14:paraId="574B5A85">
      <w:pPr>
        <w:spacing w:line="360" w:lineRule="auto"/>
        <w:ind w:firstLine="482" w:firstLineChars="200"/>
        <w:rPr>
          <w:rFonts w:ascii="宋体" w:hAnsi="宋体" w:cs="宋体"/>
          <w:b/>
          <w:bCs/>
          <w:color w:val="auto"/>
          <w:sz w:val="24"/>
          <w:highlight w:val="none"/>
        </w:rPr>
      </w:pPr>
      <w:bookmarkStart w:id="69" w:name="_Toc279701241"/>
      <w:bookmarkStart w:id="70" w:name="_Toc32452"/>
      <w:bookmarkStart w:id="71" w:name="_Toc259093670"/>
      <w:bookmarkStart w:id="72" w:name="_Toc32504"/>
      <w:bookmarkStart w:id="73" w:name="_Toc27635"/>
      <w:bookmarkStart w:id="74" w:name="_Toc13336"/>
      <w:bookmarkStart w:id="75" w:name="_Toc11370"/>
      <w:bookmarkStart w:id="76" w:name="_Toc487900350"/>
      <w:r>
        <w:rPr>
          <w:rFonts w:hint="eastAsia" w:ascii="宋体" w:hAnsi="宋体" w:cs="宋体"/>
          <w:b/>
          <w:bCs/>
          <w:color w:val="auto"/>
          <w:sz w:val="24"/>
          <w:highlight w:val="none"/>
        </w:rPr>
        <w:t>2.2技术规范</w:t>
      </w:r>
      <w:bookmarkEnd w:id="69"/>
      <w:bookmarkEnd w:id="70"/>
      <w:bookmarkEnd w:id="71"/>
      <w:bookmarkEnd w:id="72"/>
      <w:bookmarkEnd w:id="73"/>
      <w:bookmarkEnd w:id="74"/>
      <w:bookmarkEnd w:id="75"/>
      <w:bookmarkEnd w:id="76"/>
    </w:p>
    <w:p w14:paraId="0B2A25E4">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805FFB9">
      <w:pPr>
        <w:spacing w:line="360" w:lineRule="auto"/>
        <w:ind w:firstLine="482" w:firstLineChars="200"/>
        <w:rPr>
          <w:rFonts w:ascii="宋体" w:hAnsi="宋体" w:cs="宋体"/>
          <w:b/>
          <w:bCs/>
          <w:color w:val="auto"/>
          <w:sz w:val="24"/>
          <w:highlight w:val="none"/>
        </w:rPr>
      </w:pPr>
      <w:bookmarkStart w:id="77" w:name="_Toc279701242"/>
      <w:bookmarkStart w:id="78" w:name="_Toc22130"/>
      <w:bookmarkStart w:id="79" w:name="_Toc19358"/>
      <w:bookmarkStart w:id="80" w:name="_Toc259093671"/>
      <w:bookmarkStart w:id="81" w:name="_Toc27853"/>
      <w:bookmarkStart w:id="82" w:name="_Toc487900351"/>
      <w:bookmarkStart w:id="83" w:name="_Toc9829"/>
      <w:bookmarkStart w:id="84" w:name="_Toc31634"/>
      <w:r>
        <w:rPr>
          <w:rFonts w:hint="eastAsia" w:ascii="宋体" w:hAnsi="宋体" w:cs="宋体"/>
          <w:b/>
          <w:bCs/>
          <w:color w:val="auto"/>
          <w:sz w:val="24"/>
          <w:highlight w:val="none"/>
        </w:rPr>
        <w:t>2.3知识产权</w:t>
      </w:r>
      <w:bookmarkEnd w:id="77"/>
      <w:bookmarkEnd w:id="78"/>
      <w:bookmarkEnd w:id="79"/>
      <w:bookmarkEnd w:id="80"/>
      <w:bookmarkEnd w:id="81"/>
      <w:bookmarkEnd w:id="82"/>
      <w:bookmarkEnd w:id="83"/>
      <w:bookmarkEnd w:id="84"/>
    </w:p>
    <w:p w14:paraId="2C38E96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4F0EAD3E">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2.3.2具有知识产权的计算机软件等货物的知识产权归属，详见</w:t>
      </w:r>
      <w:r>
        <w:rPr>
          <w:rFonts w:hint="eastAsia" w:ascii="宋体" w:hAnsi="宋体" w:cs="宋体"/>
          <w:b/>
          <w:bCs/>
          <w:color w:val="auto"/>
          <w:sz w:val="24"/>
          <w:highlight w:val="none"/>
        </w:rPr>
        <w:t>合同专用条款</w:t>
      </w:r>
      <w:r>
        <w:rPr>
          <w:rFonts w:hint="eastAsia" w:ascii="宋体" w:hAnsi="宋体" w:cs="宋体"/>
          <w:color w:val="auto"/>
          <w:sz w:val="24"/>
          <w:highlight w:val="none"/>
        </w:rPr>
        <w:t>。</w:t>
      </w:r>
    </w:p>
    <w:p w14:paraId="39C85670">
      <w:pPr>
        <w:spacing w:line="360" w:lineRule="auto"/>
        <w:ind w:firstLine="482" w:firstLineChars="200"/>
        <w:rPr>
          <w:rFonts w:ascii="宋体" w:hAnsi="宋体" w:cs="宋体"/>
          <w:b/>
          <w:bCs/>
          <w:color w:val="auto"/>
          <w:sz w:val="24"/>
          <w:highlight w:val="none"/>
        </w:rPr>
      </w:pPr>
      <w:bookmarkStart w:id="85" w:name="_Toc11932"/>
      <w:bookmarkStart w:id="86" w:name="_Toc25809"/>
      <w:bookmarkStart w:id="87" w:name="_Toc4194"/>
      <w:bookmarkStart w:id="88" w:name="_Toc27872"/>
      <w:bookmarkStart w:id="89" w:name="_Toc29149"/>
      <w:r>
        <w:rPr>
          <w:rFonts w:hint="eastAsia" w:ascii="宋体" w:hAnsi="宋体" w:cs="宋体"/>
          <w:b/>
          <w:bCs/>
          <w:color w:val="auto"/>
          <w:sz w:val="24"/>
          <w:highlight w:val="none"/>
        </w:rPr>
        <w:t>2.4包装和装运</w:t>
      </w:r>
      <w:bookmarkEnd w:id="85"/>
      <w:bookmarkEnd w:id="86"/>
      <w:bookmarkEnd w:id="87"/>
      <w:bookmarkEnd w:id="88"/>
      <w:bookmarkEnd w:id="89"/>
    </w:p>
    <w:p w14:paraId="444E469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2.4.1除</w:t>
      </w:r>
      <w:r>
        <w:rPr>
          <w:rFonts w:hint="eastAsia" w:ascii="宋体" w:hAnsi="宋体" w:cs="宋体"/>
          <w:b/>
          <w:bCs/>
          <w:color w:val="auto"/>
          <w:sz w:val="24"/>
          <w:highlight w:val="none"/>
        </w:rPr>
        <w:t>合同专用条款</w:t>
      </w:r>
      <w:r>
        <w:rPr>
          <w:rFonts w:hint="eastAsia" w:ascii="宋体" w:hAnsi="宋体" w:cs="宋体"/>
          <w:color w:val="auto"/>
          <w:sz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5F2125A0">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2.4.2装运货物的要求和通知，详见</w:t>
      </w:r>
      <w:r>
        <w:rPr>
          <w:rFonts w:hint="eastAsia" w:ascii="宋体" w:hAnsi="宋体" w:cs="宋体"/>
          <w:b/>
          <w:bCs/>
          <w:color w:val="auto"/>
          <w:sz w:val="24"/>
          <w:highlight w:val="none"/>
        </w:rPr>
        <w:t>合同专用条款</w:t>
      </w:r>
      <w:r>
        <w:rPr>
          <w:rFonts w:hint="eastAsia" w:ascii="宋体" w:hAnsi="宋体" w:cs="宋体"/>
          <w:color w:val="auto"/>
          <w:sz w:val="24"/>
          <w:highlight w:val="none"/>
        </w:rPr>
        <w:t>。</w:t>
      </w:r>
    </w:p>
    <w:p w14:paraId="3FD860BD">
      <w:pPr>
        <w:spacing w:line="360" w:lineRule="auto"/>
        <w:ind w:firstLine="482" w:firstLineChars="200"/>
        <w:rPr>
          <w:rFonts w:ascii="宋体" w:hAnsi="宋体" w:cs="宋体"/>
          <w:b/>
          <w:bCs/>
          <w:color w:val="auto"/>
          <w:sz w:val="24"/>
          <w:highlight w:val="none"/>
        </w:rPr>
      </w:pPr>
      <w:bookmarkStart w:id="90" w:name="_Ref467379527"/>
      <w:bookmarkStart w:id="91" w:name="_Ref467379542"/>
      <w:bookmarkStart w:id="92" w:name="_Toc487900354"/>
      <w:bookmarkStart w:id="93" w:name="_Ref467378591"/>
      <w:bookmarkStart w:id="94" w:name="_Toc259093674"/>
      <w:bookmarkStart w:id="95" w:name="_Ref467379536"/>
      <w:bookmarkStart w:id="96" w:name="_Toc279701245"/>
      <w:bookmarkStart w:id="97" w:name="_Ref467378541"/>
      <w:bookmarkStart w:id="98" w:name="_Toc30272"/>
      <w:bookmarkStart w:id="99" w:name="_Toc17719"/>
      <w:bookmarkStart w:id="100" w:name="_Toc26182"/>
      <w:bookmarkStart w:id="101" w:name="_Toc19074"/>
      <w:bookmarkStart w:id="102" w:name="_Toc672"/>
      <w:r>
        <w:rPr>
          <w:rFonts w:hint="eastAsia" w:ascii="宋体" w:hAnsi="宋体" w:cs="宋体"/>
          <w:b/>
          <w:bCs/>
          <w:color w:val="auto"/>
          <w:sz w:val="24"/>
          <w:highlight w:val="none"/>
        </w:rPr>
        <w:t>2.</w:t>
      </w:r>
      <w:bookmarkEnd w:id="90"/>
      <w:bookmarkEnd w:id="91"/>
      <w:bookmarkEnd w:id="92"/>
      <w:bookmarkEnd w:id="93"/>
      <w:bookmarkEnd w:id="94"/>
      <w:bookmarkEnd w:id="95"/>
      <w:bookmarkEnd w:id="96"/>
      <w:bookmarkEnd w:id="97"/>
      <w:r>
        <w:rPr>
          <w:rFonts w:hint="eastAsia" w:ascii="宋体" w:hAnsi="宋体" w:cs="宋体"/>
          <w:b/>
          <w:bCs/>
          <w:color w:val="auto"/>
          <w:sz w:val="24"/>
          <w:highlight w:val="none"/>
        </w:rPr>
        <w:t>5履约检查和问题反馈</w:t>
      </w:r>
      <w:bookmarkEnd w:id="98"/>
      <w:bookmarkEnd w:id="99"/>
      <w:bookmarkEnd w:id="100"/>
      <w:bookmarkEnd w:id="101"/>
      <w:bookmarkEnd w:id="102"/>
    </w:p>
    <w:p w14:paraId="5DCFDE30">
      <w:pPr>
        <w:spacing w:line="360" w:lineRule="auto"/>
        <w:ind w:firstLine="480"/>
        <w:rPr>
          <w:rFonts w:ascii="宋体" w:hAnsi="宋体" w:cs="宋体"/>
          <w:color w:val="auto"/>
          <w:sz w:val="24"/>
          <w:highlight w:val="none"/>
        </w:rPr>
      </w:pPr>
      <w:bookmarkStart w:id="103" w:name="_Ref467379657"/>
      <w:r>
        <w:rPr>
          <w:rFonts w:hint="eastAsia" w:ascii="宋体" w:hAnsi="宋体" w:cs="宋体"/>
          <w:color w:val="auto"/>
          <w:sz w:val="24"/>
          <w:highlight w:val="none"/>
        </w:rPr>
        <w:t>2.5.1</w:t>
      </w:r>
      <w:bookmarkEnd w:id="103"/>
      <w:bookmarkStart w:id="104" w:name="_Toc186431854"/>
      <w:bookmarkStart w:id="105" w:name="_Toc279701247"/>
      <w:bookmarkStart w:id="106" w:name="_Ref467379793"/>
      <w:bookmarkStart w:id="107" w:name="_Toc487900357"/>
      <w:bookmarkStart w:id="108" w:name="_Ref467379807"/>
      <w:bookmarkStart w:id="109" w:name="_Toc259093676"/>
      <w:r>
        <w:rPr>
          <w:rFonts w:hint="eastAsia" w:ascii="宋体" w:hAnsi="宋体" w:cs="宋体"/>
          <w:color w:val="auto"/>
          <w:sz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14:paraId="752E12DB">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2.5.2合同履行期间，甲方有权将履行过程中出现的问题反馈给乙方，双方当事人应以书面形式约定需要完善和改进的内容</w:t>
      </w:r>
      <w:bookmarkEnd w:id="104"/>
      <w:bookmarkStart w:id="110" w:name="_Toc186431855"/>
      <w:r>
        <w:rPr>
          <w:rFonts w:hint="eastAsia" w:ascii="宋体" w:hAnsi="宋体" w:cs="宋体"/>
          <w:color w:val="auto"/>
          <w:sz w:val="24"/>
          <w:highlight w:val="none"/>
        </w:rPr>
        <w:t>。</w:t>
      </w:r>
    </w:p>
    <w:bookmarkEnd w:id="110"/>
    <w:p w14:paraId="360F6124">
      <w:pPr>
        <w:spacing w:line="360" w:lineRule="auto"/>
        <w:ind w:firstLine="482" w:firstLineChars="200"/>
        <w:rPr>
          <w:rFonts w:ascii="宋体" w:hAnsi="宋体" w:cs="宋体"/>
          <w:b/>
          <w:bCs/>
          <w:color w:val="auto"/>
          <w:sz w:val="24"/>
          <w:highlight w:val="none"/>
        </w:rPr>
      </w:pPr>
      <w:bookmarkStart w:id="111" w:name="_Toc7836"/>
      <w:bookmarkStart w:id="112" w:name="_Toc28451"/>
      <w:bookmarkStart w:id="113" w:name="_Toc29418"/>
      <w:bookmarkStart w:id="114" w:name="_Toc19219"/>
      <w:bookmarkStart w:id="115" w:name="_Toc7611"/>
      <w:r>
        <w:rPr>
          <w:rFonts w:hint="eastAsia" w:ascii="宋体" w:hAnsi="宋体" w:cs="宋体"/>
          <w:b/>
          <w:bCs/>
          <w:color w:val="auto"/>
          <w:sz w:val="24"/>
          <w:highlight w:val="none"/>
        </w:rPr>
        <w:t>2.6结算方式和付款条件</w:t>
      </w:r>
      <w:bookmarkEnd w:id="105"/>
      <w:bookmarkEnd w:id="106"/>
      <w:bookmarkEnd w:id="107"/>
      <w:bookmarkEnd w:id="108"/>
      <w:bookmarkEnd w:id="109"/>
      <w:bookmarkEnd w:id="111"/>
      <w:bookmarkEnd w:id="112"/>
      <w:bookmarkEnd w:id="113"/>
      <w:bookmarkEnd w:id="114"/>
      <w:bookmarkEnd w:id="115"/>
    </w:p>
    <w:p w14:paraId="343741F2">
      <w:pPr>
        <w:spacing w:line="360" w:lineRule="auto"/>
        <w:ind w:firstLine="480" w:firstLineChars="200"/>
        <w:outlineLvl w:val="1"/>
        <w:rPr>
          <w:rFonts w:ascii="宋体" w:hAnsi="宋体" w:cs="宋体"/>
          <w:color w:val="auto"/>
          <w:sz w:val="24"/>
          <w:highlight w:val="none"/>
        </w:rPr>
      </w:pPr>
      <w:r>
        <w:rPr>
          <w:rFonts w:hint="eastAsia" w:ascii="宋体" w:hAnsi="宋体" w:cs="宋体"/>
          <w:color w:val="auto"/>
          <w:sz w:val="24"/>
          <w:highlight w:val="none"/>
        </w:rPr>
        <w:t>付款方式：</w:t>
      </w:r>
    </w:p>
    <w:p w14:paraId="6BA72AF5">
      <w:pPr>
        <w:pStyle w:val="5"/>
        <w:rPr>
          <w:color w:val="auto"/>
          <w:sz w:val="24"/>
          <w:highlight w:val="none"/>
        </w:rPr>
      </w:pPr>
    </w:p>
    <w:p w14:paraId="58F4DD1C">
      <w:pPr>
        <w:spacing w:line="360" w:lineRule="auto"/>
        <w:ind w:firstLine="480" w:firstLineChars="200"/>
        <w:outlineLvl w:val="1"/>
        <w:rPr>
          <w:rFonts w:ascii="宋体" w:hAnsi="宋体" w:cs="宋体"/>
          <w:color w:val="auto"/>
          <w:sz w:val="24"/>
          <w:highlight w:val="none"/>
        </w:rPr>
      </w:pPr>
      <w:r>
        <w:rPr>
          <w:rFonts w:hint="eastAsia" w:ascii="宋体" w:hAnsi="宋体" w:cs="宋体"/>
          <w:color w:val="auto"/>
          <w:sz w:val="24"/>
          <w:highlight w:val="none"/>
        </w:rPr>
        <w:t>中标人承诺在采购人办理支付手续前，为采购人出具等额的符合国家规定的发票；</w:t>
      </w:r>
    </w:p>
    <w:p w14:paraId="711FC29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上述时间不包括采购人正常办理支付报批手续的时间。</w:t>
      </w:r>
    </w:p>
    <w:p w14:paraId="35024998">
      <w:pPr>
        <w:spacing w:line="360" w:lineRule="auto"/>
        <w:ind w:firstLine="482" w:firstLineChars="200"/>
        <w:rPr>
          <w:rFonts w:ascii="宋体" w:hAnsi="宋体" w:cs="宋体"/>
          <w:b/>
          <w:bCs/>
          <w:color w:val="auto"/>
          <w:sz w:val="24"/>
          <w:highlight w:val="none"/>
        </w:rPr>
      </w:pPr>
      <w:bookmarkStart w:id="116" w:name="_Ref467379923"/>
      <w:bookmarkStart w:id="117" w:name="_Toc487900358"/>
      <w:bookmarkStart w:id="118" w:name="_Ref467379863"/>
      <w:bookmarkStart w:id="119" w:name="_Ref467379852"/>
      <w:bookmarkStart w:id="120" w:name="_Toc279701248"/>
      <w:bookmarkStart w:id="121" w:name="_Toc259093677"/>
      <w:bookmarkStart w:id="122" w:name="_Toc3225"/>
      <w:bookmarkStart w:id="123" w:name="_Toc29466"/>
      <w:bookmarkStart w:id="124" w:name="_Toc4677"/>
      <w:bookmarkStart w:id="125" w:name="_Toc16110"/>
      <w:bookmarkStart w:id="126" w:name="_Toc774"/>
      <w:r>
        <w:rPr>
          <w:rFonts w:hint="eastAsia" w:ascii="宋体" w:hAnsi="宋体" w:cs="宋体"/>
          <w:b/>
          <w:bCs/>
          <w:color w:val="auto"/>
          <w:sz w:val="24"/>
          <w:highlight w:val="none"/>
        </w:rPr>
        <w:t>2.7技术资料</w:t>
      </w:r>
      <w:bookmarkEnd w:id="116"/>
      <w:bookmarkEnd w:id="117"/>
      <w:bookmarkEnd w:id="118"/>
      <w:bookmarkEnd w:id="119"/>
      <w:bookmarkEnd w:id="120"/>
      <w:bookmarkEnd w:id="121"/>
      <w:r>
        <w:rPr>
          <w:rFonts w:hint="eastAsia" w:ascii="宋体" w:hAnsi="宋体" w:cs="宋体"/>
          <w:b/>
          <w:bCs/>
          <w:color w:val="auto"/>
          <w:sz w:val="24"/>
          <w:highlight w:val="none"/>
        </w:rPr>
        <w:t>和保密义务</w:t>
      </w:r>
      <w:bookmarkEnd w:id="122"/>
      <w:bookmarkEnd w:id="123"/>
      <w:bookmarkEnd w:id="124"/>
      <w:bookmarkEnd w:id="125"/>
      <w:bookmarkEnd w:id="126"/>
    </w:p>
    <w:p w14:paraId="6C01CCD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2.7.1乙方有权依据合同约定和项目需要，向甲方了解有关情况，调阅有关资料等，甲方应予积极配合；</w:t>
      </w:r>
    </w:p>
    <w:p w14:paraId="21C02EC2">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2.7.2乙方有义务妥善保管和保护由甲方提供的前款信息和资料等；</w:t>
      </w:r>
    </w:p>
    <w:p w14:paraId="6EBB9AD2">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3547A7C">
      <w:pPr>
        <w:spacing w:line="360" w:lineRule="auto"/>
        <w:ind w:firstLine="482" w:firstLineChars="200"/>
        <w:rPr>
          <w:rFonts w:ascii="宋体" w:hAnsi="宋体" w:cs="宋体"/>
          <w:b/>
          <w:bCs/>
          <w:color w:val="auto"/>
          <w:sz w:val="24"/>
          <w:highlight w:val="none"/>
        </w:rPr>
      </w:pPr>
      <w:bookmarkStart w:id="127" w:name="_Toc7860"/>
      <w:bookmarkStart w:id="128" w:name="_Toc13519"/>
      <w:bookmarkStart w:id="129" w:name="_Toc4695"/>
      <w:r>
        <w:rPr>
          <w:rFonts w:hint="eastAsia" w:ascii="宋体" w:hAnsi="宋体" w:cs="宋体"/>
          <w:b/>
          <w:bCs/>
          <w:color w:val="auto"/>
          <w:sz w:val="24"/>
          <w:highlight w:val="none"/>
        </w:rPr>
        <w:t>2.8质量保证</w:t>
      </w:r>
      <w:bookmarkEnd w:id="127"/>
      <w:bookmarkEnd w:id="128"/>
      <w:bookmarkEnd w:id="129"/>
    </w:p>
    <w:p w14:paraId="5356439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2.8.1乙方应建立和完善履行合同的内部质量保证体系，并提供相关内部规章制度给甲方，以便甲方进行监督检查；</w:t>
      </w:r>
    </w:p>
    <w:p w14:paraId="1CEA82C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2.8.2乙方应保证履行合同的人员数量和素质、软件和硬件设备的配置、场地、环境和设施等满足全面履行合同的要求，并应接受甲方的监督检查。</w:t>
      </w:r>
    </w:p>
    <w:p w14:paraId="652C9F8B">
      <w:pPr>
        <w:spacing w:line="360" w:lineRule="auto"/>
        <w:ind w:firstLine="482" w:firstLineChars="200"/>
        <w:rPr>
          <w:rFonts w:ascii="宋体" w:hAnsi="宋体" w:cs="宋体"/>
          <w:b/>
          <w:bCs/>
          <w:color w:val="auto"/>
          <w:sz w:val="24"/>
          <w:highlight w:val="none"/>
        </w:rPr>
      </w:pPr>
      <w:bookmarkStart w:id="130" w:name="_Toc18578"/>
      <w:bookmarkStart w:id="131" w:name="_Toc17244"/>
      <w:bookmarkStart w:id="132" w:name="_Toc12609"/>
      <w:bookmarkStart w:id="133" w:name="_Toc259093681"/>
      <w:bookmarkStart w:id="134" w:name="_Toc487900362"/>
      <w:bookmarkStart w:id="135" w:name="_Toc279701252"/>
      <w:r>
        <w:rPr>
          <w:rFonts w:hint="eastAsia" w:ascii="宋体" w:hAnsi="宋体" w:cs="宋体"/>
          <w:b/>
          <w:bCs/>
          <w:color w:val="auto"/>
          <w:sz w:val="24"/>
          <w:highlight w:val="none"/>
        </w:rPr>
        <w:t>2.9货物的风险负担</w:t>
      </w:r>
      <w:bookmarkEnd w:id="130"/>
      <w:bookmarkEnd w:id="131"/>
      <w:bookmarkEnd w:id="132"/>
    </w:p>
    <w:p w14:paraId="07FBCFC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货物或者在途货物或者交付给第一承运人后的货物毁损、灭失的风险负担详见</w:t>
      </w:r>
      <w:r>
        <w:rPr>
          <w:rFonts w:hint="eastAsia" w:ascii="宋体" w:hAnsi="宋体" w:cs="宋体"/>
          <w:b/>
          <w:bCs/>
          <w:color w:val="auto"/>
          <w:sz w:val="24"/>
          <w:highlight w:val="none"/>
        </w:rPr>
        <w:t>合同专用条款</w:t>
      </w:r>
      <w:r>
        <w:rPr>
          <w:rFonts w:hint="eastAsia" w:ascii="宋体" w:hAnsi="宋体" w:cs="宋体"/>
          <w:color w:val="auto"/>
          <w:sz w:val="24"/>
          <w:highlight w:val="none"/>
        </w:rPr>
        <w:t>。</w:t>
      </w:r>
    </w:p>
    <w:p w14:paraId="09127F0E">
      <w:pPr>
        <w:spacing w:line="360" w:lineRule="auto"/>
        <w:ind w:firstLine="482" w:firstLineChars="200"/>
        <w:rPr>
          <w:rFonts w:ascii="宋体" w:hAnsi="宋体" w:cs="宋体"/>
          <w:b/>
          <w:bCs/>
          <w:color w:val="auto"/>
          <w:sz w:val="24"/>
          <w:highlight w:val="none"/>
        </w:rPr>
      </w:pPr>
      <w:bookmarkStart w:id="136" w:name="_Toc3733"/>
      <w:bookmarkStart w:id="137" w:name="_Toc14055"/>
      <w:bookmarkStart w:id="138" w:name="_Toc25487"/>
      <w:r>
        <w:rPr>
          <w:rFonts w:hint="eastAsia" w:ascii="宋体" w:hAnsi="宋体" w:cs="宋体"/>
          <w:b/>
          <w:bCs/>
          <w:color w:val="auto"/>
          <w:sz w:val="24"/>
          <w:highlight w:val="none"/>
        </w:rPr>
        <w:t>2.10延迟交货</w:t>
      </w:r>
      <w:bookmarkEnd w:id="133"/>
      <w:bookmarkEnd w:id="134"/>
      <w:bookmarkEnd w:id="135"/>
      <w:bookmarkEnd w:id="136"/>
      <w:bookmarkEnd w:id="137"/>
      <w:bookmarkEnd w:id="138"/>
    </w:p>
    <w:p w14:paraId="04A266F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59E6E943">
      <w:pPr>
        <w:spacing w:line="360" w:lineRule="auto"/>
        <w:ind w:firstLine="482" w:firstLineChars="200"/>
        <w:rPr>
          <w:rFonts w:ascii="宋体" w:hAnsi="宋体" w:cs="宋体"/>
          <w:b/>
          <w:bCs/>
          <w:color w:val="auto"/>
          <w:sz w:val="24"/>
          <w:highlight w:val="none"/>
        </w:rPr>
      </w:pPr>
      <w:bookmarkStart w:id="139" w:name="_Toc16913"/>
      <w:bookmarkStart w:id="140" w:name="_Toc11512"/>
      <w:bookmarkStart w:id="141" w:name="_Toc7502"/>
      <w:bookmarkStart w:id="142" w:name="_Toc279701254"/>
      <w:bookmarkStart w:id="143" w:name="_Toc487900364"/>
      <w:bookmarkStart w:id="144" w:name="_Ref467378121"/>
      <w:bookmarkStart w:id="145" w:name="_Toc259093683"/>
      <w:r>
        <w:rPr>
          <w:rFonts w:hint="eastAsia" w:ascii="宋体" w:hAnsi="宋体" w:cs="宋体"/>
          <w:b/>
          <w:bCs/>
          <w:color w:val="auto"/>
          <w:sz w:val="24"/>
          <w:highlight w:val="none"/>
        </w:rPr>
        <w:t>2.11合同变更</w:t>
      </w:r>
      <w:bookmarkEnd w:id="139"/>
      <w:bookmarkEnd w:id="140"/>
      <w:bookmarkEnd w:id="141"/>
    </w:p>
    <w:p w14:paraId="7F1F3E7E">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2.11.1双方当事人协商一致，可以签订书面补充合同的形式变更合同，但不得违背采购文件确定的事项，且如果系追加与合同标的相同的货物的，那么所有补充合同的采购金额不得超过原合同价的10%；</w:t>
      </w:r>
    </w:p>
    <w:p w14:paraId="533E6D3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2.11.2合同继续履行将损害国家利益和社会公共利益的，双方当事人应当以书面形式变更合同。有过错的一方应当承担赔偿责任，双方当事人都有过错的，各自承担相应的责任。</w:t>
      </w:r>
      <w:bookmarkStart w:id="146" w:name="_Toc279701259"/>
      <w:bookmarkStart w:id="147" w:name="_Toc259093688"/>
      <w:bookmarkStart w:id="148" w:name="_Toc487900369"/>
    </w:p>
    <w:p w14:paraId="00793ACE">
      <w:pPr>
        <w:spacing w:line="360" w:lineRule="auto"/>
        <w:ind w:firstLine="482" w:firstLineChars="200"/>
        <w:rPr>
          <w:rFonts w:ascii="宋体" w:hAnsi="宋体" w:cs="宋体"/>
          <w:b/>
          <w:bCs/>
          <w:color w:val="auto"/>
          <w:sz w:val="24"/>
          <w:highlight w:val="none"/>
        </w:rPr>
      </w:pPr>
      <w:bookmarkStart w:id="149" w:name="_Toc10366"/>
      <w:bookmarkStart w:id="150" w:name="_Toc15237"/>
      <w:bookmarkStart w:id="151" w:name="_Toc22955"/>
      <w:bookmarkStart w:id="152" w:name="_Toc27152"/>
      <w:bookmarkStart w:id="153" w:name="_Toc6182"/>
      <w:r>
        <w:rPr>
          <w:rFonts w:hint="eastAsia" w:ascii="宋体" w:hAnsi="宋体" w:cs="宋体"/>
          <w:b/>
          <w:bCs/>
          <w:color w:val="auto"/>
          <w:sz w:val="24"/>
          <w:highlight w:val="none"/>
        </w:rPr>
        <w:t>2.12合同转让</w:t>
      </w:r>
      <w:bookmarkEnd w:id="146"/>
      <w:bookmarkEnd w:id="147"/>
      <w:bookmarkEnd w:id="148"/>
      <w:r>
        <w:rPr>
          <w:rFonts w:hint="eastAsia" w:ascii="宋体" w:hAnsi="宋体" w:cs="宋体"/>
          <w:b/>
          <w:bCs/>
          <w:color w:val="auto"/>
          <w:sz w:val="24"/>
          <w:highlight w:val="none"/>
        </w:rPr>
        <w:t>和分包</w:t>
      </w:r>
      <w:bookmarkEnd w:id="149"/>
      <w:bookmarkEnd w:id="150"/>
      <w:bookmarkEnd w:id="151"/>
      <w:bookmarkEnd w:id="152"/>
      <w:bookmarkEnd w:id="153"/>
    </w:p>
    <w:p w14:paraId="1521572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7A2DBD28">
      <w:pPr>
        <w:spacing w:line="360" w:lineRule="auto"/>
        <w:ind w:firstLine="482" w:firstLineChars="200"/>
        <w:rPr>
          <w:rFonts w:ascii="宋体" w:hAnsi="宋体" w:cs="宋体"/>
          <w:b/>
          <w:bCs/>
          <w:color w:val="auto"/>
          <w:sz w:val="24"/>
          <w:highlight w:val="none"/>
        </w:rPr>
      </w:pPr>
      <w:bookmarkStart w:id="154" w:name="_Toc14066"/>
      <w:bookmarkStart w:id="155" w:name="_Toc16508"/>
      <w:bookmarkStart w:id="156" w:name="_Toc13566"/>
      <w:bookmarkStart w:id="157" w:name="_Toc2942"/>
      <w:bookmarkStart w:id="158" w:name="_Toc28033"/>
      <w:r>
        <w:rPr>
          <w:rFonts w:hint="eastAsia" w:ascii="宋体" w:hAnsi="宋体" w:cs="宋体"/>
          <w:b/>
          <w:bCs/>
          <w:color w:val="auto"/>
          <w:sz w:val="24"/>
          <w:highlight w:val="none"/>
        </w:rPr>
        <w:t>2.13不可抗力</w:t>
      </w:r>
      <w:bookmarkEnd w:id="154"/>
      <w:bookmarkEnd w:id="155"/>
      <w:bookmarkEnd w:id="156"/>
      <w:bookmarkEnd w:id="157"/>
      <w:bookmarkEnd w:id="158"/>
    </w:p>
    <w:p w14:paraId="3D805476">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2.13.1如果任何一方遭遇法律规定的不可抗力，致使合同履行受阻时，履行合同的期限应予延长，延长的期限应相当于不可抗力所影响的时间；</w:t>
      </w:r>
    </w:p>
    <w:p w14:paraId="76D1AA81">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2.13.2因不可抗力致使不能实现合同目的的，当事人可以解除合同；</w:t>
      </w:r>
    </w:p>
    <w:p w14:paraId="0E53A52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2.13.3因不可抗力致使合同有变更必要的，双方当事人应在</w:t>
      </w:r>
      <w:r>
        <w:rPr>
          <w:rFonts w:hint="eastAsia" w:ascii="宋体" w:hAnsi="宋体" w:cs="宋体"/>
          <w:b/>
          <w:bCs/>
          <w:color w:val="auto"/>
          <w:sz w:val="24"/>
          <w:highlight w:val="none"/>
        </w:rPr>
        <w:t>合同专用条款</w:t>
      </w:r>
      <w:r>
        <w:rPr>
          <w:rFonts w:hint="eastAsia" w:ascii="宋体" w:hAnsi="宋体" w:cs="宋体"/>
          <w:color w:val="auto"/>
          <w:sz w:val="24"/>
          <w:highlight w:val="none"/>
        </w:rPr>
        <w:t>约定时间内以书面形式变更合同；</w:t>
      </w:r>
    </w:p>
    <w:p w14:paraId="5CBE355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2.13.4受不可抗力影响的一方在不可抗力发生后，应在</w:t>
      </w:r>
      <w:r>
        <w:rPr>
          <w:rFonts w:hint="eastAsia" w:ascii="宋体" w:hAnsi="宋体" w:cs="宋体"/>
          <w:b/>
          <w:bCs/>
          <w:color w:val="auto"/>
          <w:sz w:val="24"/>
          <w:highlight w:val="none"/>
        </w:rPr>
        <w:t>合同专用条款</w:t>
      </w:r>
      <w:r>
        <w:rPr>
          <w:rFonts w:hint="eastAsia" w:ascii="宋体" w:hAnsi="宋体" w:cs="宋体"/>
          <w:color w:val="auto"/>
          <w:sz w:val="24"/>
          <w:highlight w:val="none"/>
        </w:rPr>
        <w:t>约定时间内以书面形式通知对方当事人，并在</w:t>
      </w:r>
      <w:r>
        <w:rPr>
          <w:rFonts w:hint="eastAsia" w:ascii="宋体" w:hAnsi="宋体" w:cs="宋体"/>
          <w:b/>
          <w:bCs/>
          <w:color w:val="auto"/>
          <w:sz w:val="24"/>
          <w:highlight w:val="none"/>
        </w:rPr>
        <w:t>合同专用条款</w:t>
      </w:r>
      <w:r>
        <w:rPr>
          <w:rFonts w:hint="eastAsia" w:ascii="宋体" w:hAnsi="宋体" w:cs="宋体"/>
          <w:color w:val="auto"/>
          <w:sz w:val="24"/>
          <w:highlight w:val="none"/>
        </w:rPr>
        <w:t>约定时间内，将有关部门出具的证明文件送达对方当事人。</w:t>
      </w:r>
    </w:p>
    <w:p w14:paraId="3A413BD7">
      <w:pPr>
        <w:spacing w:line="360" w:lineRule="auto"/>
        <w:ind w:firstLine="482" w:firstLineChars="200"/>
        <w:rPr>
          <w:rFonts w:ascii="宋体" w:hAnsi="宋体" w:cs="宋体"/>
          <w:b/>
          <w:bCs/>
          <w:color w:val="auto"/>
          <w:sz w:val="24"/>
          <w:highlight w:val="none"/>
        </w:rPr>
      </w:pPr>
      <w:bookmarkStart w:id="159" w:name="_Toc487900365"/>
      <w:bookmarkStart w:id="160" w:name="_Toc259093684"/>
      <w:bookmarkStart w:id="161" w:name="_Toc24304"/>
      <w:bookmarkStart w:id="162" w:name="_Toc15135"/>
      <w:bookmarkStart w:id="163" w:name="_Toc279701255"/>
      <w:bookmarkStart w:id="164" w:name="_Toc6969"/>
      <w:bookmarkStart w:id="165" w:name="_Toc30676"/>
      <w:bookmarkStart w:id="166" w:name="_Toc689"/>
      <w:r>
        <w:rPr>
          <w:rFonts w:hint="eastAsia" w:ascii="宋体" w:hAnsi="宋体" w:cs="宋体"/>
          <w:b/>
          <w:bCs/>
          <w:color w:val="auto"/>
          <w:sz w:val="24"/>
          <w:highlight w:val="none"/>
        </w:rPr>
        <w:t>2.14税费</w:t>
      </w:r>
      <w:bookmarkEnd w:id="159"/>
      <w:bookmarkEnd w:id="160"/>
      <w:bookmarkEnd w:id="161"/>
      <w:bookmarkEnd w:id="162"/>
      <w:bookmarkEnd w:id="163"/>
      <w:bookmarkEnd w:id="164"/>
      <w:bookmarkEnd w:id="165"/>
      <w:bookmarkEnd w:id="166"/>
    </w:p>
    <w:p w14:paraId="206C04FC">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与合同有关的一切税费，均按照中华人民共和国法律的相关规定。</w:t>
      </w:r>
    </w:p>
    <w:p w14:paraId="35136385">
      <w:pPr>
        <w:spacing w:line="360" w:lineRule="auto"/>
        <w:ind w:firstLine="482" w:firstLineChars="200"/>
        <w:rPr>
          <w:rFonts w:ascii="宋体" w:hAnsi="宋体" w:cs="宋体"/>
          <w:b/>
          <w:bCs/>
          <w:color w:val="auto"/>
          <w:sz w:val="24"/>
          <w:highlight w:val="none"/>
        </w:rPr>
      </w:pPr>
      <w:bookmarkStart w:id="167" w:name="_Toc4081"/>
      <w:bookmarkStart w:id="168" w:name="_Toc16959"/>
      <w:bookmarkStart w:id="169" w:name="_Toc8298"/>
      <w:bookmarkStart w:id="170" w:name="_Toc7102"/>
      <w:bookmarkStart w:id="171" w:name="_Toc279701258"/>
      <w:bookmarkStart w:id="172" w:name="_Toc487900368"/>
      <w:bookmarkStart w:id="173" w:name="_Toc259093687"/>
      <w:bookmarkStart w:id="174" w:name="_Toc21389"/>
      <w:r>
        <w:rPr>
          <w:rFonts w:hint="eastAsia" w:ascii="宋体" w:hAnsi="宋体" w:cs="宋体"/>
          <w:b/>
          <w:bCs/>
          <w:color w:val="auto"/>
          <w:sz w:val="24"/>
          <w:highlight w:val="none"/>
        </w:rPr>
        <w:t>2.15乙方破产</w:t>
      </w:r>
      <w:bookmarkEnd w:id="167"/>
      <w:bookmarkEnd w:id="168"/>
      <w:bookmarkEnd w:id="169"/>
      <w:bookmarkEnd w:id="170"/>
      <w:bookmarkEnd w:id="171"/>
      <w:bookmarkEnd w:id="172"/>
      <w:bookmarkEnd w:id="173"/>
      <w:bookmarkEnd w:id="174"/>
    </w:p>
    <w:p w14:paraId="55A0D585">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849EE81">
      <w:pPr>
        <w:spacing w:line="360" w:lineRule="auto"/>
        <w:ind w:firstLine="482" w:firstLineChars="200"/>
        <w:rPr>
          <w:rFonts w:ascii="宋体" w:hAnsi="宋体" w:cs="宋体"/>
          <w:b/>
          <w:bCs/>
          <w:color w:val="auto"/>
          <w:sz w:val="24"/>
          <w:highlight w:val="none"/>
        </w:rPr>
      </w:pPr>
      <w:bookmarkStart w:id="175" w:name="_Toc6134"/>
      <w:bookmarkStart w:id="176" w:name="_Toc9826"/>
      <w:bookmarkStart w:id="177" w:name="_Toc29333"/>
      <w:bookmarkStart w:id="178" w:name="_Toc15387"/>
      <w:bookmarkStart w:id="179" w:name="_Toc9288"/>
      <w:r>
        <w:rPr>
          <w:rFonts w:hint="eastAsia" w:ascii="宋体" w:hAnsi="宋体" w:cs="宋体"/>
          <w:b/>
          <w:bCs/>
          <w:color w:val="auto"/>
          <w:sz w:val="24"/>
          <w:highlight w:val="none"/>
        </w:rPr>
        <w:t>2.16合同中止、终止</w:t>
      </w:r>
      <w:bookmarkEnd w:id="175"/>
      <w:bookmarkEnd w:id="176"/>
      <w:bookmarkEnd w:id="177"/>
      <w:bookmarkEnd w:id="178"/>
      <w:bookmarkEnd w:id="179"/>
    </w:p>
    <w:p w14:paraId="712520E9">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2.16.1双方当事人不得擅自中止或者终止合同；</w:t>
      </w:r>
    </w:p>
    <w:p w14:paraId="1C06F388">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2.16.2合同继续履行将损害国家利益和社会公共利益的，双方当事人应当中止或者终止合同。有过错的一方应当承担赔偿责任，双方当事人都有过错的，各自承担相应的责任。</w:t>
      </w:r>
    </w:p>
    <w:p w14:paraId="72AA808A">
      <w:pPr>
        <w:spacing w:line="360" w:lineRule="auto"/>
        <w:ind w:firstLine="482" w:firstLineChars="200"/>
        <w:rPr>
          <w:rFonts w:ascii="宋体" w:hAnsi="宋体" w:cs="宋体"/>
          <w:b/>
          <w:bCs/>
          <w:color w:val="auto"/>
          <w:sz w:val="24"/>
          <w:highlight w:val="none"/>
        </w:rPr>
      </w:pPr>
      <w:bookmarkStart w:id="180" w:name="_Toc6596"/>
      <w:bookmarkStart w:id="181" w:name="_Toc14737"/>
      <w:bookmarkStart w:id="182" w:name="_Toc1125"/>
      <w:bookmarkStart w:id="183" w:name="_Toc13585"/>
      <w:bookmarkStart w:id="184" w:name="_Toc14563"/>
      <w:r>
        <w:rPr>
          <w:rFonts w:hint="eastAsia" w:ascii="宋体" w:hAnsi="宋体" w:cs="宋体"/>
          <w:b/>
          <w:bCs/>
          <w:color w:val="auto"/>
          <w:sz w:val="24"/>
          <w:highlight w:val="none"/>
        </w:rPr>
        <w:t>2.17检验和验收</w:t>
      </w:r>
      <w:bookmarkEnd w:id="180"/>
      <w:bookmarkEnd w:id="181"/>
      <w:bookmarkEnd w:id="182"/>
      <w:bookmarkEnd w:id="183"/>
      <w:bookmarkEnd w:id="184"/>
    </w:p>
    <w:p w14:paraId="175E2B40">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2.17.1货物交付前，乙方应对货物的质量、数量等方面进行详细、全面的检验，并向甲方出具证明货物符合合同约定的文件；货物交付时，乙方在</w:t>
      </w:r>
      <w:r>
        <w:rPr>
          <w:rFonts w:hint="eastAsia" w:ascii="宋体" w:hAnsi="宋体" w:cs="宋体"/>
          <w:b/>
          <w:bCs/>
          <w:color w:val="auto"/>
          <w:sz w:val="24"/>
          <w:highlight w:val="none"/>
        </w:rPr>
        <w:t>合同专用条款</w:t>
      </w:r>
      <w:r>
        <w:rPr>
          <w:rFonts w:hint="eastAsia" w:ascii="宋体" w:hAnsi="宋体" w:cs="宋体"/>
          <w:color w:val="auto"/>
          <w:sz w:val="24"/>
          <w:highlight w:val="none"/>
        </w:rPr>
        <w:t>约定时间内组织验收，并可依法邀请相关方参加，验收应出具验收书。</w:t>
      </w:r>
    </w:p>
    <w:p w14:paraId="5B622A37">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536157DC">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2.17.3检验和验收标准、程序等具体内容以及前述验收书的效力详见</w:t>
      </w:r>
      <w:r>
        <w:rPr>
          <w:rFonts w:hint="eastAsia" w:ascii="宋体" w:hAnsi="宋体" w:cs="宋体"/>
          <w:b/>
          <w:bCs/>
          <w:color w:val="auto"/>
          <w:sz w:val="24"/>
          <w:highlight w:val="none"/>
        </w:rPr>
        <w:t>合同专用条款</w:t>
      </w:r>
      <w:r>
        <w:rPr>
          <w:rFonts w:hint="eastAsia" w:ascii="宋体" w:hAnsi="宋体" w:cs="宋体"/>
          <w:color w:val="auto"/>
          <w:sz w:val="24"/>
          <w:highlight w:val="none"/>
        </w:rPr>
        <w:t>。</w:t>
      </w:r>
    </w:p>
    <w:bookmarkEnd w:id="142"/>
    <w:bookmarkEnd w:id="143"/>
    <w:bookmarkEnd w:id="144"/>
    <w:bookmarkEnd w:id="145"/>
    <w:p w14:paraId="00DD15AE">
      <w:pPr>
        <w:spacing w:line="360" w:lineRule="auto"/>
        <w:ind w:firstLine="482" w:firstLineChars="200"/>
        <w:rPr>
          <w:rFonts w:ascii="宋体" w:hAnsi="宋体" w:cs="宋体"/>
          <w:b/>
          <w:bCs/>
          <w:color w:val="auto"/>
          <w:sz w:val="24"/>
          <w:highlight w:val="none"/>
        </w:rPr>
      </w:pPr>
      <w:bookmarkStart w:id="185" w:name="_Toc487900371"/>
      <w:bookmarkStart w:id="186" w:name="_Toc259093690"/>
      <w:bookmarkStart w:id="187" w:name="_Toc279701261"/>
      <w:bookmarkStart w:id="188" w:name="_Toc25182"/>
      <w:bookmarkStart w:id="189" w:name="_Toc11284"/>
      <w:bookmarkStart w:id="190" w:name="_Toc17389"/>
      <w:bookmarkStart w:id="191" w:name="_Toc19604"/>
      <w:bookmarkStart w:id="192" w:name="_Toc18111"/>
      <w:r>
        <w:rPr>
          <w:rFonts w:hint="eastAsia" w:ascii="宋体" w:hAnsi="宋体" w:cs="宋体"/>
          <w:b/>
          <w:bCs/>
          <w:color w:val="auto"/>
          <w:sz w:val="24"/>
          <w:highlight w:val="none"/>
        </w:rPr>
        <w:t>2.18通知</w:t>
      </w:r>
      <w:bookmarkEnd w:id="185"/>
      <w:bookmarkEnd w:id="186"/>
      <w:bookmarkEnd w:id="187"/>
      <w:r>
        <w:rPr>
          <w:rFonts w:hint="eastAsia" w:ascii="宋体" w:hAnsi="宋体" w:cs="宋体"/>
          <w:b/>
          <w:bCs/>
          <w:color w:val="auto"/>
          <w:sz w:val="24"/>
          <w:highlight w:val="none"/>
        </w:rPr>
        <w:t>和送达</w:t>
      </w:r>
      <w:bookmarkEnd w:id="188"/>
      <w:bookmarkEnd w:id="189"/>
      <w:bookmarkEnd w:id="190"/>
      <w:bookmarkEnd w:id="191"/>
      <w:bookmarkEnd w:id="192"/>
    </w:p>
    <w:p w14:paraId="2547682D">
      <w:pPr>
        <w:spacing w:line="360" w:lineRule="auto"/>
        <w:ind w:firstLine="480"/>
        <w:rPr>
          <w:rFonts w:ascii="宋体" w:hAnsi="宋体" w:cs="宋体"/>
          <w:color w:val="auto"/>
          <w:sz w:val="24"/>
          <w:highlight w:val="none"/>
        </w:rPr>
      </w:pPr>
      <w:bookmarkStart w:id="193" w:name="_Toc3135"/>
      <w:bookmarkStart w:id="194" w:name="_Toc6698"/>
      <w:bookmarkStart w:id="195" w:name="_Toc259093691"/>
      <w:bookmarkStart w:id="196" w:name="_Toc279701262"/>
      <w:bookmarkStart w:id="197" w:name="_Toc487900372"/>
      <w:r>
        <w:rPr>
          <w:rFonts w:hint="eastAsia" w:ascii="宋体" w:hAnsi="宋体" w:cs="宋体"/>
          <w:color w:val="auto"/>
          <w:sz w:val="24"/>
          <w:highlight w:val="none"/>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3"/>
      <w:bookmarkEnd w:id="194"/>
    </w:p>
    <w:p w14:paraId="5FBED270">
      <w:pPr>
        <w:spacing w:line="360" w:lineRule="auto"/>
        <w:ind w:firstLine="480"/>
        <w:rPr>
          <w:rFonts w:ascii="宋体" w:hAnsi="宋体" w:cs="宋体"/>
          <w:color w:val="auto"/>
          <w:sz w:val="24"/>
          <w:highlight w:val="none"/>
        </w:rPr>
      </w:pPr>
      <w:bookmarkStart w:id="198" w:name="_Toc23294"/>
      <w:bookmarkStart w:id="199" w:name="_Toc23128"/>
      <w:r>
        <w:rPr>
          <w:rFonts w:hint="eastAsia" w:ascii="宋体" w:hAnsi="宋体" w:cs="宋体"/>
          <w:color w:val="auto"/>
          <w:sz w:val="24"/>
          <w:highlight w:val="none"/>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8"/>
      <w:bookmarkEnd w:id="199"/>
    </w:p>
    <w:p w14:paraId="6C1A7871">
      <w:pPr>
        <w:spacing w:line="360" w:lineRule="auto"/>
        <w:ind w:firstLine="482" w:firstLineChars="200"/>
        <w:rPr>
          <w:rFonts w:ascii="宋体" w:hAnsi="宋体" w:cs="宋体"/>
          <w:b/>
          <w:bCs/>
          <w:color w:val="auto"/>
          <w:sz w:val="24"/>
          <w:highlight w:val="none"/>
        </w:rPr>
      </w:pPr>
      <w:bookmarkStart w:id="200" w:name="_Toc4355"/>
      <w:bookmarkStart w:id="201" w:name="_Toc32070"/>
      <w:bookmarkStart w:id="202" w:name="_Toc18540"/>
      <w:bookmarkStart w:id="203" w:name="_Toc25677"/>
      <w:bookmarkStart w:id="204" w:name="_Toc30599"/>
      <w:r>
        <w:rPr>
          <w:rFonts w:hint="eastAsia" w:ascii="宋体" w:hAnsi="宋体" w:cs="宋体"/>
          <w:b/>
          <w:bCs/>
          <w:color w:val="auto"/>
          <w:sz w:val="24"/>
          <w:highlight w:val="none"/>
        </w:rPr>
        <w:t>2.19计量单位</w:t>
      </w:r>
      <w:bookmarkEnd w:id="195"/>
      <w:bookmarkEnd w:id="196"/>
      <w:bookmarkEnd w:id="197"/>
      <w:bookmarkEnd w:id="200"/>
      <w:bookmarkEnd w:id="201"/>
      <w:bookmarkEnd w:id="202"/>
      <w:bookmarkEnd w:id="203"/>
      <w:bookmarkEnd w:id="204"/>
    </w:p>
    <w:p w14:paraId="4420584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除技术规范中另有规定外,合同的计量单位均使用国家法定计量单位。</w:t>
      </w:r>
    </w:p>
    <w:p w14:paraId="3653F4E0">
      <w:pPr>
        <w:spacing w:line="360" w:lineRule="auto"/>
        <w:ind w:firstLine="482" w:firstLineChars="200"/>
        <w:rPr>
          <w:rFonts w:ascii="宋体" w:hAnsi="宋体" w:cs="宋体"/>
          <w:b/>
          <w:bCs/>
          <w:color w:val="auto"/>
          <w:sz w:val="24"/>
          <w:highlight w:val="none"/>
        </w:rPr>
      </w:pPr>
      <w:bookmarkStart w:id="205" w:name="_Toc25407"/>
      <w:bookmarkStart w:id="206" w:name="_Toc18567"/>
      <w:bookmarkStart w:id="207" w:name="_Toc12270"/>
      <w:bookmarkStart w:id="208" w:name="_Toc12773"/>
      <w:bookmarkStart w:id="209" w:name="_Toc279701263"/>
      <w:bookmarkStart w:id="210" w:name="_Toc259093692"/>
      <w:bookmarkStart w:id="211" w:name="_Toc10330"/>
      <w:bookmarkStart w:id="212" w:name="_Toc487900373"/>
      <w:r>
        <w:rPr>
          <w:rFonts w:hint="eastAsia" w:ascii="宋体" w:hAnsi="宋体" w:cs="宋体"/>
          <w:b/>
          <w:bCs/>
          <w:color w:val="auto"/>
          <w:sz w:val="24"/>
          <w:highlight w:val="none"/>
        </w:rPr>
        <w:t>2.20合同使用的文字和适用的法律</w:t>
      </w:r>
      <w:bookmarkEnd w:id="205"/>
      <w:bookmarkEnd w:id="206"/>
      <w:bookmarkEnd w:id="207"/>
      <w:bookmarkEnd w:id="208"/>
      <w:bookmarkEnd w:id="209"/>
      <w:bookmarkEnd w:id="210"/>
      <w:bookmarkEnd w:id="211"/>
      <w:bookmarkEnd w:id="212"/>
    </w:p>
    <w:p w14:paraId="01357DC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2.20.1合同使用汉语书就、变更和解释；</w:t>
      </w:r>
    </w:p>
    <w:p w14:paraId="4A14AE17">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2.20.2合同适用中华人民共和国法律。</w:t>
      </w:r>
    </w:p>
    <w:p w14:paraId="1EACCF70">
      <w:pPr>
        <w:spacing w:line="360" w:lineRule="auto"/>
        <w:ind w:firstLine="482" w:firstLineChars="200"/>
        <w:rPr>
          <w:rFonts w:ascii="宋体" w:hAnsi="宋体" w:cs="宋体"/>
          <w:b/>
          <w:bCs/>
          <w:color w:val="auto"/>
          <w:sz w:val="24"/>
          <w:highlight w:val="none"/>
        </w:rPr>
      </w:pPr>
      <w:bookmarkStart w:id="213" w:name="_Toc259093693"/>
      <w:bookmarkStart w:id="214" w:name="_Toc16673"/>
      <w:bookmarkStart w:id="215" w:name="_Toc2674"/>
      <w:bookmarkStart w:id="216" w:name="_Toc12004"/>
      <w:bookmarkStart w:id="217" w:name="_Toc3148"/>
      <w:bookmarkStart w:id="218" w:name="_Toc10983"/>
      <w:bookmarkStart w:id="219" w:name="_Toc279701264"/>
      <w:bookmarkStart w:id="220" w:name="_Toc487900374"/>
      <w:r>
        <w:rPr>
          <w:rFonts w:hint="eastAsia" w:ascii="宋体" w:hAnsi="宋体" w:cs="宋体"/>
          <w:b/>
          <w:bCs/>
          <w:color w:val="auto"/>
          <w:sz w:val="24"/>
          <w:highlight w:val="none"/>
        </w:rPr>
        <w:t>2.21履约保证金</w:t>
      </w:r>
      <w:bookmarkEnd w:id="213"/>
      <w:bookmarkEnd w:id="214"/>
      <w:bookmarkEnd w:id="215"/>
      <w:bookmarkEnd w:id="216"/>
      <w:bookmarkEnd w:id="217"/>
      <w:bookmarkEnd w:id="218"/>
      <w:bookmarkEnd w:id="219"/>
    </w:p>
    <w:p w14:paraId="1C643FEF">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2.21.1</w:t>
      </w:r>
      <w:r>
        <w:rPr>
          <w:rFonts w:hint="eastAsia" w:ascii="宋体" w:hAnsi="宋体" w:cs="宋体"/>
          <w:color w:val="auto"/>
          <w:sz w:val="24"/>
          <w:highlight w:val="none"/>
          <w:lang w:val="en-US" w:eastAsia="zh-CN"/>
        </w:rPr>
        <w:t>不要求提供</w:t>
      </w:r>
      <w:r>
        <w:rPr>
          <w:rFonts w:hint="eastAsia" w:ascii="宋体" w:hAnsi="宋体" w:cs="宋体"/>
          <w:color w:val="auto"/>
          <w:sz w:val="24"/>
          <w:highlight w:val="none"/>
        </w:rPr>
        <w:t>。</w:t>
      </w:r>
    </w:p>
    <w:bookmarkEnd w:id="220"/>
    <w:p w14:paraId="4040D9B0">
      <w:pPr>
        <w:spacing w:line="360" w:lineRule="auto"/>
        <w:ind w:firstLine="482" w:firstLineChars="200"/>
        <w:rPr>
          <w:rFonts w:ascii="宋体" w:hAnsi="宋体" w:cs="宋体"/>
          <w:b/>
          <w:bCs/>
          <w:color w:val="auto"/>
          <w:sz w:val="24"/>
          <w:highlight w:val="none"/>
        </w:rPr>
      </w:pPr>
      <w:bookmarkStart w:id="221" w:name="_Toc6250"/>
      <w:bookmarkStart w:id="222" w:name="_Toc14001"/>
      <w:bookmarkStart w:id="223" w:name="_Toc19890"/>
      <w:bookmarkStart w:id="224" w:name="_Toc990"/>
      <w:bookmarkStart w:id="225" w:name="_Toc6885"/>
      <w:r>
        <w:rPr>
          <w:rFonts w:hint="eastAsia" w:ascii="宋体" w:hAnsi="宋体" w:cs="宋体"/>
          <w:b/>
          <w:bCs/>
          <w:color w:val="auto"/>
          <w:sz w:val="24"/>
          <w:highlight w:val="none"/>
        </w:rPr>
        <w:t>2.22合同份数</w:t>
      </w:r>
      <w:bookmarkEnd w:id="221"/>
      <w:bookmarkEnd w:id="222"/>
      <w:bookmarkEnd w:id="223"/>
      <w:bookmarkEnd w:id="224"/>
      <w:bookmarkEnd w:id="225"/>
    </w:p>
    <w:p w14:paraId="6D3774FC">
      <w:pPr>
        <w:spacing w:line="360" w:lineRule="auto"/>
        <w:ind w:firstLine="480"/>
        <w:rPr>
          <w:rFonts w:ascii="宋体" w:hAnsi="宋体" w:cs="宋体"/>
          <w:color w:val="auto"/>
          <w:sz w:val="28"/>
          <w:szCs w:val="28"/>
          <w:highlight w:val="none"/>
        </w:rPr>
      </w:pPr>
      <w:r>
        <w:rPr>
          <w:rFonts w:hint="eastAsia" w:ascii="宋体" w:hAnsi="宋体" w:cs="宋体"/>
          <w:color w:val="auto"/>
          <w:sz w:val="24"/>
          <w:highlight w:val="none"/>
        </w:rPr>
        <w:t>合同份数按</w:t>
      </w:r>
      <w:r>
        <w:rPr>
          <w:rFonts w:hint="eastAsia" w:ascii="宋体" w:hAnsi="宋体" w:cs="宋体"/>
          <w:b/>
          <w:bCs/>
          <w:color w:val="auto"/>
          <w:sz w:val="24"/>
          <w:highlight w:val="none"/>
        </w:rPr>
        <w:t>合同专用条款</w:t>
      </w:r>
      <w:r>
        <w:rPr>
          <w:rFonts w:hint="eastAsia" w:ascii="宋体" w:hAnsi="宋体" w:cs="宋体"/>
          <w:color w:val="auto"/>
          <w:sz w:val="24"/>
          <w:highlight w:val="none"/>
        </w:rPr>
        <w:t>规定，每份均具有同等法律效力。</w:t>
      </w:r>
    </w:p>
    <w:p w14:paraId="5B2C3058">
      <w:pPr>
        <w:spacing w:line="360" w:lineRule="auto"/>
        <w:ind w:firstLine="480"/>
        <w:rPr>
          <w:rFonts w:ascii="宋体" w:hAnsi="宋体" w:cs="宋体"/>
          <w:b/>
          <w:bCs/>
          <w:color w:val="auto"/>
          <w:sz w:val="28"/>
          <w:szCs w:val="28"/>
          <w:highlight w:val="none"/>
        </w:rPr>
      </w:pPr>
    </w:p>
    <w:p w14:paraId="20F958E2">
      <w:pPr>
        <w:spacing w:line="360" w:lineRule="auto"/>
        <w:ind w:firstLine="480"/>
        <w:rPr>
          <w:rFonts w:ascii="宋体" w:hAnsi="宋体" w:cs="宋体"/>
          <w:b/>
          <w:bCs/>
          <w:color w:val="auto"/>
          <w:sz w:val="28"/>
          <w:szCs w:val="28"/>
          <w:highlight w:val="none"/>
        </w:rPr>
      </w:pPr>
    </w:p>
    <w:p w14:paraId="091DB029">
      <w:pPr>
        <w:spacing w:line="360" w:lineRule="auto"/>
        <w:ind w:firstLine="480"/>
        <w:rPr>
          <w:rFonts w:ascii="宋体" w:hAnsi="宋体" w:cs="宋体"/>
          <w:b/>
          <w:bCs/>
          <w:color w:val="auto"/>
          <w:sz w:val="28"/>
          <w:szCs w:val="28"/>
          <w:highlight w:val="none"/>
        </w:rPr>
      </w:pPr>
    </w:p>
    <w:p w14:paraId="65557EA5">
      <w:pPr>
        <w:spacing w:line="360" w:lineRule="auto"/>
        <w:ind w:firstLine="480"/>
        <w:rPr>
          <w:rFonts w:ascii="宋体" w:hAnsi="宋体" w:cs="宋体"/>
          <w:b/>
          <w:bCs/>
          <w:color w:val="auto"/>
          <w:sz w:val="28"/>
          <w:szCs w:val="28"/>
          <w:highlight w:val="none"/>
        </w:rPr>
      </w:pPr>
    </w:p>
    <w:p w14:paraId="310253A6">
      <w:pPr>
        <w:spacing w:line="360" w:lineRule="auto"/>
        <w:ind w:firstLine="480"/>
        <w:rPr>
          <w:rFonts w:ascii="宋体" w:hAnsi="宋体" w:cs="宋体"/>
          <w:b/>
          <w:bCs/>
          <w:color w:val="auto"/>
          <w:sz w:val="28"/>
          <w:szCs w:val="28"/>
          <w:highlight w:val="none"/>
        </w:rPr>
      </w:pPr>
    </w:p>
    <w:p w14:paraId="611AA926">
      <w:pPr>
        <w:spacing w:line="360" w:lineRule="auto"/>
        <w:jc w:val="center"/>
        <w:outlineLvl w:val="1"/>
        <w:rPr>
          <w:rFonts w:ascii="宋体" w:hAnsi="宋体" w:cs="宋体"/>
          <w:color w:val="auto"/>
          <w:sz w:val="24"/>
          <w:highlight w:val="none"/>
        </w:rPr>
      </w:pPr>
      <w:bookmarkStart w:id="226" w:name="_Toc29847"/>
      <w:r>
        <w:rPr>
          <w:rFonts w:hint="eastAsia" w:ascii="宋体" w:hAnsi="宋体" w:cs="宋体"/>
          <w:color w:val="auto"/>
          <w:sz w:val="28"/>
          <w:szCs w:val="28"/>
          <w:highlight w:val="none"/>
        </w:rPr>
        <w:br w:type="page"/>
      </w:r>
      <w:bookmarkStart w:id="227" w:name="_Toc31860"/>
      <w:bookmarkStart w:id="228" w:name="_Toc11417"/>
      <w:bookmarkStart w:id="229" w:name="_Toc21063"/>
      <w:bookmarkStart w:id="230" w:name="_Toc7721"/>
      <w:bookmarkStart w:id="231" w:name="_Toc2315"/>
      <w:bookmarkStart w:id="232" w:name="_Toc28328"/>
      <w:r>
        <w:rPr>
          <w:rFonts w:hint="eastAsia" w:ascii="宋体" w:hAnsi="宋体" w:cs="宋体"/>
          <w:color w:val="auto"/>
          <w:sz w:val="24"/>
          <w:highlight w:val="none"/>
        </w:rPr>
        <w:t>二、合同专用条款</w:t>
      </w:r>
      <w:bookmarkEnd w:id="226"/>
      <w:bookmarkEnd w:id="227"/>
      <w:bookmarkEnd w:id="228"/>
      <w:bookmarkEnd w:id="229"/>
      <w:bookmarkEnd w:id="230"/>
      <w:bookmarkEnd w:id="231"/>
      <w:bookmarkEnd w:id="232"/>
    </w:p>
    <w:p w14:paraId="6EFF2565">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1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8113"/>
      </w:tblGrid>
      <w:tr w14:paraId="756B9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5242A9E5">
            <w:pPr>
              <w:spacing w:line="560" w:lineRule="exact"/>
              <w:jc w:val="center"/>
              <w:rPr>
                <w:rFonts w:ascii="宋体" w:hAnsi="宋体" w:cs="宋体"/>
                <w:b/>
                <w:color w:val="auto"/>
                <w:sz w:val="24"/>
                <w:highlight w:val="none"/>
              </w:rPr>
            </w:pPr>
            <w:r>
              <w:rPr>
                <w:rFonts w:hint="eastAsia" w:ascii="宋体" w:hAnsi="宋体" w:cs="宋体"/>
                <w:b/>
                <w:color w:val="auto"/>
                <w:sz w:val="24"/>
                <w:highlight w:val="none"/>
              </w:rPr>
              <w:t>条款号</w:t>
            </w:r>
          </w:p>
        </w:tc>
        <w:tc>
          <w:tcPr>
            <w:tcW w:w="8113" w:type="dxa"/>
            <w:vAlign w:val="center"/>
          </w:tcPr>
          <w:p w14:paraId="68F1693C">
            <w:pPr>
              <w:spacing w:line="560" w:lineRule="exact"/>
              <w:jc w:val="center"/>
              <w:rPr>
                <w:rFonts w:ascii="宋体" w:hAnsi="宋体" w:cs="宋体"/>
                <w:b/>
                <w:color w:val="auto"/>
                <w:sz w:val="24"/>
                <w:highlight w:val="none"/>
              </w:rPr>
            </w:pPr>
            <w:r>
              <w:rPr>
                <w:rFonts w:hint="eastAsia" w:ascii="宋体" w:hAnsi="宋体" w:cs="宋体"/>
                <w:b/>
                <w:color w:val="auto"/>
                <w:sz w:val="24"/>
                <w:highlight w:val="none"/>
              </w:rPr>
              <w:t>约定内容</w:t>
            </w:r>
          </w:p>
        </w:tc>
      </w:tr>
      <w:tr w14:paraId="06122A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1EE7B7EA">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8113" w:type="dxa"/>
            <w:vAlign w:val="center"/>
          </w:tcPr>
          <w:p w14:paraId="2B9F4E28">
            <w:pPr>
              <w:spacing w:line="560" w:lineRule="exact"/>
              <w:rPr>
                <w:rFonts w:ascii="宋体" w:hAnsi="宋体" w:cs="宋体"/>
                <w:color w:val="auto"/>
                <w:sz w:val="24"/>
                <w:highlight w:val="none"/>
              </w:rPr>
            </w:pPr>
            <w:r>
              <w:rPr>
                <w:rFonts w:hint="eastAsia" w:ascii="宋体" w:hAnsi="宋体" w:cs="宋体"/>
                <w:color w:val="auto"/>
                <w:sz w:val="24"/>
                <w:highlight w:val="none"/>
              </w:rPr>
              <w:t>按照招标文件的约定执行。</w:t>
            </w:r>
          </w:p>
        </w:tc>
      </w:tr>
      <w:tr w14:paraId="6B8E1B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B7126F8">
            <w:pPr>
              <w:spacing w:line="560" w:lineRule="exact"/>
              <w:rPr>
                <w:rFonts w:ascii="宋体" w:hAnsi="宋体" w:cs="宋体"/>
                <w:color w:val="auto"/>
                <w:sz w:val="24"/>
                <w:highlight w:val="none"/>
              </w:rPr>
            </w:pPr>
          </w:p>
        </w:tc>
        <w:tc>
          <w:tcPr>
            <w:tcW w:w="8113" w:type="dxa"/>
            <w:vAlign w:val="center"/>
          </w:tcPr>
          <w:p w14:paraId="1B39BC1C">
            <w:pPr>
              <w:spacing w:line="560" w:lineRule="exact"/>
              <w:rPr>
                <w:rFonts w:ascii="宋体" w:hAnsi="宋体" w:cs="宋体"/>
                <w:color w:val="auto"/>
                <w:sz w:val="24"/>
                <w:highlight w:val="none"/>
              </w:rPr>
            </w:pPr>
          </w:p>
        </w:tc>
      </w:tr>
      <w:tr w14:paraId="5AAFF2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18E490E">
            <w:pPr>
              <w:spacing w:line="560" w:lineRule="exact"/>
              <w:rPr>
                <w:rFonts w:ascii="宋体" w:hAnsi="宋体" w:cs="宋体"/>
                <w:color w:val="auto"/>
                <w:sz w:val="24"/>
                <w:highlight w:val="none"/>
              </w:rPr>
            </w:pPr>
          </w:p>
        </w:tc>
        <w:tc>
          <w:tcPr>
            <w:tcW w:w="8113" w:type="dxa"/>
            <w:vAlign w:val="center"/>
          </w:tcPr>
          <w:p w14:paraId="7B7FB076">
            <w:pPr>
              <w:spacing w:line="560" w:lineRule="exact"/>
              <w:rPr>
                <w:rFonts w:ascii="宋体" w:hAnsi="宋体" w:cs="宋体"/>
                <w:color w:val="auto"/>
                <w:sz w:val="24"/>
                <w:highlight w:val="none"/>
              </w:rPr>
            </w:pPr>
          </w:p>
        </w:tc>
      </w:tr>
      <w:tr w14:paraId="66136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C7AB56D">
            <w:pPr>
              <w:spacing w:line="560" w:lineRule="exact"/>
              <w:rPr>
                <w:rFonts w:ascii="宋体" w:hAnsi="宋体" w:cs="宋体"/>
                <w:color w:val="auto"/>
                <w:sz w:val="24"/>
                <w:highlight w:val="none"/>
              </w:rPr>
            </w:pPr>
          </w:p>
        </w:tc>
        <w:tc>
          <w:tcPr>
            <w:tcW w:w="8113" w:type="dxa"/>
            <w:vAlign w:val="center"/>
          </w:tcPr>
          <w:p w14:paraId="0B7C9204">
            <w:pPr>
              <w:spacing w:line="560" w:lineRule="exact"/>
              <w:rPr>
                <w:rFonts w:ascii="宋体" w:hAnsi="宋体" w:cs="宋体"/>
                <w:color w:val="auto"/>
                <w:sz w:val="24"/>
                <w:highlight w:val="none"/>
              </w:rPr>
            </w:pPr>
          </w:p>
        </w:tc>
      </w:tr>
      <w:tr w14:paraId="56BC43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9F4F0D4">
            <w:pPr>
              <w:spacing w:line="560" w:lineRule="exact"/>
              <w:rPr>
                <w:rFonts w:ascii="宋体" w:hAnsi="宋体" w:cs="宋体"/>
                <w:color w:val="auto"/>
                <w:sz w:val="24"/>
                <w:highlight w:val="none"/>
              </w:rPr>
            </w:pPr>
          </w:p>
        </w:tc>
        <w:tc>
          <w:tcPr>
            <w:tcW w:w="8113" w:type="dxa"/>
            <w:vAlign w:val="center"/>
          </w:tcPr>
          <w:p w14:paraId="5EE54759">
            <w:pPr>
              <w:spacing w:line="560" w:lineRule="exact"/>
              <w:rPr>
                <w:rFonts w:ascii="宋体" w:hAnsi="宋体" w:cs="宋体"/>
                <w:color w:val="auto"/>
                <w:sz w:val="24"/>
                <w:highlight w:val="none"/>
                <w:u w:val="single"/>
              </w:rPr>
            </w:pPr>
          </w:p>
        </w:tc>
      </w:tr>
      <w:tr w14:paraId="22AF4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A2A25D9">
            <w:pPr>
              <w:spacing w:line="560" w:lineRule="exact"/>
              <w:rPr>
                <w:rFonts w:ascii="宋体" w:hAnsi="宋体" w:cs="宋体"/>
                <w:color w:val="auto"/>
                <w:sz w:val="24"/>
                <w:highlight w:val="none"/>
              </w:rPr>
            </w:pPr>
          </w:p>
        </w:tc>
        <w:tc>
          <w:tcPr>
            <w:tcW w:w="8113" w:type="dxa"/>
            <w:vAlign w:val="center"/>
          </w:tcPr>
          <w:p w14:paraId="7D8C6CA0">
            <w:pPr>
              <w:spacing w:line="560" w:lineRule="exact"/>
              <w:rPr>
                <w:rFonts w:ascii="宋体" w:hAnsi="宋体" w:cs="宋体"/>
                <w:color w:val="auto"/>
                <w:sz w:val="24"/>
                <w:highlight w:val="none"/>
              </w:rPr>
            </w:pPr>
          </w:p>
        </w:tc>
      </w:tr>
      <w:tr w14:paraId="36838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093BC74">
            <w:pPr>
              <w:spacing w:line="560" w:lineRule="exact"/>
              <w:rPr>
                <w:rFonts w:ascii="宋体" w:hAnsi="宋体" w:cs="宋体"/>
                <w:color w:val="auto"/>
                <w:sz w:val="24"/>
                <w:highlight w:val="none"/>
              </w:rPr>
            </w:pPr>
          </w:p>
        </w:tc>
        <w:tc>
          <w:tcPr>
            <w:tcW w:w="8113" w:type="dxa"/>
            <w:vAlign w:val="center"/>
          </w:tcPr>
          <w:p w14:paraId="63706501">
            <w:pPr>
              <w:spacing w:line="560" w:lineRule="exact"/>
              <w:rPr>
                <w:rFonts w:ascii="宋体" w:hAnsi="宋体" w:cs="宋体"/>
                <w:color w:val="auto"/>
                <w:sz w:val="24"/>
                <w:highlight w:val="none"/>
                <w:u w:val="single"/>
              </w:rPr>
            </w:pPr>
          </w:p>
        </w:tc>
      </w:tr>
      <w:tr w14:paraId="3D886A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F18F5B4">
            <w:pPr>
              <w:spacing w:line="560" w:lineRule="exact"/>
              <w:rPr>
                <w:rFonts w:ascii="宋体" w:hAnsi="宋体" w:cs="宋体"/>
                <w:color w:val="auto"/>
                <w:sz w:val="24"/>
                <w:highlight w:val="none"/>
              </w:rPr>
            </w:pPr>
          </w:p>
        </w:tc>
        <w:tc>
          <w:tcPr>
            <w:tcW w:w="8113" w:type="dxa"/>
            <w:vAlign w:val="center"/>
          </w:tcPr>
          <w:p w14:paraId="3BB8E255">
            <w:pPr>
              <w:spacing w:line="560" w:lineRule="exact"/>
              <w:rPr>
                <w:rFonts w:ascii="宋体" w:hAnsi="宋体" w:cs="宋体"/>
                <w:color w:val="auto"/>
                <w:sz w:val="24"/>
                <w:highlight w:val="none"/>
              </w:rPr>
            </w:pPr>
          </w:p>
        </w:tc>
      </w:tr>
      <w:tr w14:paraId="26B086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AF28973">
            <w:pPr>
              <w:spacing w:line="560" w:lineRule="exact"/>
              <w:rPr>
                <w:rFonts w:ascii="宋体" w:hAnsi="宋体" w:cs="宋体"/>
                <w:color w:val="auto"/>
                <w:sz w:val="24"/>
                <w:highlight w:val="none"/>
              </w:rPr>
            </w:pPr>
          </w:p>
        </w:tc>
        <w:tc>
          <w:tcPr>
            <w:tcW w:w="8113" w:type="dxa"/>
            <w:vAlign w:val="center"/>
          </w:tcPr>
          <w:p w14:paraId="42F2888D">
            <w:pPr>
              <w:spacing w:line="560" w:lineRule="exact"/>
              <w:rPr>
                <w:rFonts w:ascii="宋体" w:hAnsi="宋体" w:cs="宋体"/>
                <w:color w:val="auto"/>
                <w:sz w:val="24"/>
                <w:highlight w:val="none"/>
              </w:rPr>
            </w:pPr>
          </w:p>
        </w:tc>
      </w:tr>
      <w:tr w14:paraId="2AC5A5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F468552">
            <w:pPr>
              <w:spacing w:line="560" w:lineRule="exact"/>
              <w:rPr>
                <w:rFonts w:ascii="宋体" w:hAnsi="宋体" w:cs="宋体"/>
                <w:color w:val="auto"/>
                <w:sz w:val="24"/>
                <w:highlight w:val="none"/>
              </w:rPr>
            </w:pPr>
          </w:p>
        </w:tc>
        <w:tc>
          <w:tcPr>
            <w:tcW w:w="8113" w:type="dxa"/>
            <w:vAlign w:val="center"/>
          </w:tcPr>
          <w:p w14:paraId="3E04C981">
            <w:pPr>
              <w:spacing w:line="560" w:lineRule="exact"/>
              <w:rPr>
                <w:rFonts w:ascii="宋体" w:hAnsi="宋体" w:cs="宋体"/>
                <w:color w:val="auto"/>
                <w:sz w:val="24"/>
                <w:highlight w:val="none"/>
              </w:rPr>
            </w:pPr>
          </w:p>
        </w:tc>
      </w:tr>
      <w:tr w14:paraId="4A617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5CDF4E10">
            <w:pPr>
              <w:spacing w:line="560" w:lineRule="exact"/>
              <w:rPr>
                <w:rFonts w:ascii="宋体" w:hAnsi="宋体" w:cs="宋体"/>
                <w:color w:val="auto"/>
                <w:sz w:val="24"/>
                <w:highlight w:val="none"/>
              </w:rPr>
            </w:pPr>
          </w:p>
        </w:tc>
        <w:tc>
          <w:tcPr>
            <w:tcW w:w="8113" w:type="dxa"/>
            <w:tcBorders>
              <w:top w:val="single" w:color="auto" w:sz="6" w:space="0"/>
              <w:left w:val="single" w:color="auto" w:sz="6" w:space="0"/>
              <w:bottom w:val="single" w:color="auto" w:sz="6" w:space="0"/>
              <w:right w:val="single" w:color="auto" w:sz="6" w:space="0"/>
            </w:tcBorders>
            <w:vAlign w:val="center"/>
          </w:tcPr>
          <w:p w14:paraId="4C16766B">
            <w:pPr>
              <w:spacing w:line="560" w:lineRule="exact"/>
              <w:rPr>
                <w:rFonts w:ascii="宋体" w:hAnsi="宋体" w:cs="宋体"/>
                <w:color w:val="auto"/>
                <w:sz w:val="24"/>
                <w:highlight w:val="none"/>
              </w:rPr>
            </w:pPr>
          </w:p>
        </w:tc>
      </w:tr>
      <w:tr w14:paraId="61F290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C73F459">
            <w:pPr>
              <w:spacing w:line="560" w:lineRule="exact"/>
              <w:rPr>
                <w:rFonts w:ascii="宋体" w:hAnsi="宋体" w:cs="宋体"/>
                <w:color w:val="auto"/>
                <w:sz w:val="24"/>
                <w:highlight w:val="none"/>
              </w:rPr>
            </w:pPr>
          </w:p>
        </w:tc>
        <w:tc>
          <w:tcPr>
            <w:tcW w:w="8113" w:type="dxa"/>
            <w:tcBorders>
              <w:top w:val="single" w:color="auto" w:sz="6" w:space="0"/>
              <w:left w:val="single" w:color="auto" w:sz="6" w:space="0"/>
              <w:bottom w:val="single" w:color="auto" w:sz="6" w:space="0"/>
              <w:right w:val="single" w:color="auto" w:sz="6" w:space="0"/>
            </w:tcBorders>
            <w:vAlign w:val="center"/>
          </w:tcPr>
          <w:p w14:paraId="4E7F7624">
            <w:pPr>
              <w:spacing w:line="560" w:lineRule="exact"/>
              <w:rPr>
                <w:rFonts w:ascii="宋体" w:hAnsi="宋体" w:cs="宋体"/>
                <w:color w:val="auto"/>
                <w:sz w:val="24"/>
                <w:highlight w:val="none"/>
              </w:rPr>
            </w:pPr>
          </w:p>
        </w:tc>
      </w:tr>
    </w:tbl>
    <w:p w14:paraId="6100D4A3">
      <w:pPr>
        <w:rPr>
          <w:color w:val="auto"/>
          <w:highlight w:val="none"/>
        </w:rPr>
      </w:pPr>
      <w:r>
        <w:rPr>
          <w:rFonts w:hint="eastAsia" w:ascii="宋体" w:hAnsi="宋体" w:cs="宋体"/>
          <w:color w:val="auto"/>
          <w:sz w:val="24"/>
          <w:highlight w:val="none"/>
        </w:rPr>
        <w:t>注：最终以中标人投标文件响应条款为准修订。</w:t>
      </w:r>
    </w:p>
    <w:p w14:paraId="4AA13482">
      <w:pPr>
        <w:pStyle w:val="26"/>
        <w:rPr>
          <w:rFonts w:hint="default" w:ascii="宋体" w:hAnsi="宋体" w:eastAsia="宋体" w:cs="宋体"/>
          <w:color w:val="auto"/>
          <w:highlight w:val="none"/>
        </w:rPr>
      </w:pPr>
    </w:p>
    <w:p w14:paraId="5D647C3B">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1D4D7A"/>
    <w:rsid w:val="097571EF"/>
    <w:rsid w:val="10AC5218"/>
    <w:rsid w:val="10D3313C"/>
    <w:rsid w:val="264F0079"/>
    <w:rsid w:val="2B617603"/>
    <w:rsid w:val="36DE2219"/>
    <w:rsid w:val="403B217E"/>
    <w:rsid w:val="58BC239B"/>
    <w:rsid w:val="64DF3A6C"/>
    <w:rsid w:val="6E0D59D4"/>
    <w:rsid w:val="6E4D15AA"/>
    <w:rsid w:val="78B37100"/>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22"/>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Normal Indent"/>
    <w:basedOn w:val="1"/>
    <w:qFormat/>
    <w:uiPriority w:val="0"/>
    <w:pPr>
      <w:wordWrap/>
      <w:autoSpaceDE/>
      <w:autoSpaceDN/>
      <w:ind w:firstLine="420" w:firstLineChars="200"/>
    </w:pPr>
    <w:rPr>
      <w:rFonts w:ascii="Times New Roman"/>
      <w:sz w:val="21"/>
    </w:rPr>
  </w:style>
  <w:style w:type="paragraph" w:styleId="7">
    <w:name w:val="annotation text"/>
    <w:basedOn w:val="1"/>
    <w:qFormat/>
    <w:uiPriority w:val="0"/>
    <w:pPr>
      <w:jc w:val="left"/>
    </w:pPr>
  </w:style>
  <w:style w:type="paragraph" w:styleId="8">
    <w:name w:val="Body Text"/>
    <w:basedOn w:val="1"/>
    <w:qFormat/>
    <w:uiPriority w:val="1"/>
    <w:rPr>
      <w:rFonts w:ascii="宋体" w:hAnsi="宋体" w:eastAsia="宋体" w:cs="宋体"/>
      <w:sz w:val="21"/>
      <w:szCs w:val="21"/>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left="555"/>
    </w:pPr>
    <w:rPr>
      <w:sz w:val="28"/>
      <w:szCs w:val="20"/>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2"/>
    <w:basedOn w:val="9"/>
    <w:qFormat/>
    <w:uiPriority w:val="0"/>
    <w:pPr>
      <w:spacing w:after="0"/>
      <w:ind w:left="0" w:leftChars="0" w:firstLine="420" w:firstLineChars="200"/>
    </w:pPr>
  </w:style>
  <w:style w:type="paragraph" w:customStyle="1" w:styleId="18">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0">
    <w:name w:val="List Paragraph"/>
    <w:basedOn w:val="1"/>
    <w:qFormat/>
    <w:uiPriority w:val="1"/>
    <w:pPr>
      <w:ind w:left="100" w:firstLine="420"/>
    </w:pPr>
    <w:rPr>
      <w:rFonts w:ascii="宋体" w:hAnsi="宋体" w:eastAsia="宋体" w:cs="宋体"/>
    </w:rPr>
  </w:style>
  <w:style w:type="paragraph" w:customStyle="1" w:styleId="21">
    <w:name w:val="Table Paragraph"/>
    <w:basedOn w:val="1"/>
    <w:qFormat/>
    <w:uiPriority w:val="1"/>
    <w:rPr>
      <w:rFonts w:ascii="宋体" w:hAnsi="宋体" w:eastAsia="宋体" w:cs="宋体"/>
    </w:rPr>
  </w:style>
  <w:style w:type="character" w:customStyle="1" w:styleId="22">
    <w:name w:val="标题 2 Char1"/>
    <w:basedOn w:val="17"/>
    <w:link w:val="2"/>
    <w:qFormat/>
    <w:uiPriority w:val="99"/>
    <w:rPr>
      <w:rFonts w:ascii="Microsoft JhengHei" w:hAnsi="Microsoft JhengHei" w:eastAsia="Microsoft JhengHei" w:cs="Microsoft JhengHei"/>
      <w:b/>
      <w:bCs/>
      <w:szCs w:val="32"/>
    </w:rPr>
  </w:style>
  <w:style w:type="table" w:customStyle="1" w:styleId="2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24">
    <w:name w:val="1"/>
    <w:basedOn w:val="1"/>
    <w:next w:val="14"/>
    <w:qFormat/>
    <w:uiPriority w:val="0"/>
    <w:pPr>
      <w:widowControl/>
      <w:spacing w:before="100" w:beforeAutospacing="1" w:after="100" w:afterAutospacing="1"/>
      <w:jc w:val="left"/>
    </w:pPr>
    <w:rPr>
      <w:rFonts w:ascii="宋体" w:hAnsi="宋体"/>
      <w:kern w:val="0"/>
      <w:sz w:val="24"/>
    </w:rPr>
  </w:style>
  <w:style w:type="paragraph" w:customStyle="1" w:styleId="25">
    <w:name w:val="纯文本1"/>
    <w:basedOn w:val="1"/>
    <w:qFormat/>
    <w:uiPriority w:val="0"/>
    <w:pPr>
      <w:spacing w:line="240" w:lineRule="auto"/>
    </w:pPr>
    <w:rPr>
      <w:rFonts w:ascii="宋体" w:hAnsi="Courier New"/>
      <w:szCs w:val="22"/>
    </w:rPr>
  </w:style>
  <w:style w:type="paragraph" w:customStyle="1" w:styleId="2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5038</Words>
  <Characters>5361</Characters>
  <Lines>0</Lines>
  <Paragraphs>0</Paragraphs>
  <TotalTime>0</TotalTime>
  <ScaleCrop>false</ScaleCrop>
  <LinksUpToDate>false</LinksUpToDate>
  <CharactersWithSpaces>5935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terms:modified xsi:type="dcterms:W3CDTF">2026-06-17T08:50:40Z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