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E45004">
      <w:pPr>
        <w:pStyle w:val="4"/>
        <w:jc w:val="center"/>
        <w:outlineLvl w:val="1"/>
        <w:rPr>
          <w:rFonts w:hint="default"/>
        </w:rPr>
      </w:pPr>
      <w:r>
        <w:rPr>
          <w:rFonts w:ascii="仿宋_GB2312" w:hAnsi="仿宋_GB2312" w:eastAsia="仿宋_GB2312" w:cs="仿宋_GB2312"/>
          <w:b/>
          <w:sz w:val="36"/>
        </w:rPr>
        <w:t>第三章 磋商项目技术、服务、商务及其他要求</w:t>
      </w:r>
    </w:p>
    <w:p w14:paraId="53EC2281">
      <w:pPr>
        <w:pStyle w:val="4"/>
        <w:ind w:firstLine="480"/>
        <w:rPr>
          <w:rFonts w:hint="default"/>
        </w:rPr>
      </w:pPr>
      <w:r>
        <w:rPr>
          <w:rFonts w:ascii="仿宋_GB2312" w:hAnsi="仿宋_GB2312" w:eastAsia="仿宋_GB2312" w:cs="仿宋_GB2312"/>
        </w:rPr>
        <w:t xml:space="preserve"> （注：带“★”的参数需求为实质性要求，供应商必须响应并满足的参数需求，采购人、采购代理机构应当根据项目实际需求合理设定，并明确具体要求。带“▲”号条款为允许负偏离的参数需求，若未响应或者不满足，将在综合评审中予以扣分处理。）</w:t>
      </w:r>
    </w:p>
    <w:p w14:paraId="32060B9F">
      <w:pPr>
        <w:pStyle w:val="4"/>
        <w:outlineLvl w:val="2"/>
        <w:rPr>
          <w:rFonts w:hint="default" w:ascii="仿宋_GB2312" w:hAnsi="仿宋_GB2312" w:eastAsia="仿宋_GB2312" w:cs="仿宋_GB2312"/>
          <w:b/>
          <w:sz w:val="28"/>
        </w:rPr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3335DD27">
      <w:pPr>
        <w:pStyle w:val="4"/>
        <w:ind w:firstLine="400" w:firstLineChars="200"/>
        <w:rPr>
          <w:rFonts w:hint="default"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为进一步加强国际旅游交流合作，搭建陕西与境内外旅游企业对接平台，促进入境旅游发展，陕西省和旅游厅将于2026年6月上旬（具体时间由采购方通知）在西安举办“2026入境游旅行商大会暨陕西入境旅游产品推介会”。供应商需统筹做好大会组织实施与全程会务保障服务，邀约境内外重点入境旅行商来陕开展实地踩线、洽谈对接与合作交流，系统做好陕西优质文旅资源及入境旅游线路产品集中展示、专场推介与精准引流。</w:t>
      </w:r>
    </w:p>
    <w:p w14:paraId="754896BC">
      <w:pPr>
        <w:pStyle w:val="4"/>
        <w:outlineLvl w:val="2"/>
        <w:rPr>
          <w:rFonts w:hint="default"/>
        </w:rPr>
      </w:pPr>
      <w:r>
        <w:rPr>
          <w:rFonts w:ascii="仿宋_GB2312" w:hAnsi="仿宋_GB2312" w:eastAsia="仿宋_GB2312" w:cs="仿宋_GB2312"/>
          <w:b/>
          <w:sz w:val="28"/>
        </w:rPr>
        <w:t>3.2服务内容及服务要求</w:t>
      </w:r>
    </w:p>
    <w:p w14:paraId="38C4DC4A">
      <w:pPr>
        <w:pStyle w:val="4"/>
        <w:outlineLvl w:val="3"/>
        <w:rPr>
          <w:rFonts w:hint="default"/>
        </w:rPr>
      </w:pPr>
      <w:r>
        <w:rPr>
          <w:rFonts w:ascii="仿宋_GB2312" w:hAnsi="仿宋_GB2312" w:eastAsia="仿宋_GB2312" w:cs="仿宋_GB2312"/>
          <w:b/>
          <w:sz w:val="24"/>
        </w:rPr>
        <w:t>3.2.1服务内容</w:t>
      </w:r>
    </w:p>
    <w:p w14:paraId="567FA3B2">
      <w:pPr>
        <w:pStyle w:val="4"/>
        <w:rPr>
          <w:rFonts w:hint="default"/>
        </w:rPr>
      </w:pPr>
      <w:r>
        <w:rPr>
          <w:rFonts w:ascii="仿宋_GB2312" w:hAnsi="仿宋_GB2312" w:eastAsia="仿宋_GB2312" w:cs="仿宋_GB2312"/>
        </w:rPr>
        <w:t>采购包1：</w:t>
      </w:r>
    </w:p>
    <w:p w14:paraId="799C328A">
      <w:pPr>
        <w:pStyle w:val="4"/>
        <w:rPr>
          <w:rFonts w:hint="default"/>
        </w:rPr>
      </w:pPr>
      <w:r>
        <w:rPr>
          <w:rFonts w:ascii="仿宋_GB2312" w:hAnsi="仿宋_GB2312" w:eastAsia="仿宋_GB2312" w:cs="仿宋_GB2312"/>
        </w:rPr>
        <w:t>采购包预算金额（元）:</w:t>
      </w:r>
      <w:r>
        <w:rPr>
          <w:rFonts w:ascii="仿宋_GB2312" w:hAnsi="仿宋_GB2312" w:eastAsia="仿宋_GB2312" w:cs="仿宋_GB2312"/>
          <w:lang w:eastAsia="zh-CN"/>
        </w:rPr>
        <w:t>1</w:t>
      </w:r>
      <w:r>
        <w:rPr>
          <w:rFonts w:ascii="仿宋_GB2312" w:hAnsi="仿宋_GB2312" w:eastAsia="仿宋_GB2312" w:cs="仿宋_GB2312"/>
        </w:rPr>
        <w:t>,</w:t>
      </w:r>
      <w:r>
        <w:rPr>
          <w:rFonts w:ascii="仿宋_GB2312" w:hAnsi="仿宋_GB2312" w:eastAsia="仿宋_GB2312" w:cs="仿宋_GB2312"/>
          <w:lang w:eastAsia="zh-CN"/>
        </w:rPr>
        <w:t>642</w:t>
      </w:r>
      <w:r>
        <w:rPr>
          <w:rFonts w:ascii="仿宋_GB2312" w:hAnsi="仿宋_GB2312" w:eastAsia="仿宋_GB2312" w:cs="仿宋_GB2312"/>
        </w:rPr>
        <w:t>,</w:t>
      </w:r>
      <w:r>
        <w:rPr>
          <w:rFonts w:ascii="仿宋_GB2312" w:hAnsi="仿宋_GB2312" w:eastAsia="仿宋_GB2312" w:cs="仿宋_GB2312"/>
          <w:lang w:eastAsia="zh-CN"/>
        </w:rPr>
        <w:t>5</w:t>
      </w:r>
      <w:r>
        <w:rPr>
          <w:rFonts w:ascii="仿宋_GB2312" w:hAnsi="仿宋_GB2312" w:eastAsia="仿宋_GB2312" w:cs="仿宋_GB2312"/>
        </w:rPr>
        <w:t>00.00</w:t>
      </w:r>
    </w:p>
    <w:p w14:paraId="4EDCC8C9">
      <w:pPr>
        <w:pStyle w:val="4"/>
        <w:rPr>
          <w:rFonts w:hint="default"/>
        </w:rPr>
      </w:pPr>
      <w:r>
        <w:rPr>
          <w:rFonts w:ascii="仿宋_GB2312" w:hAnsi="仿宋_GB2312" w:eastAsia="仿宋_GB2312" w:cs="仿宋_GB2312"/>
        </w:rPr>
        <w:t>采购包最高限价（元）:</w:t>
      </w:r>
      <w:r>
        <w:rPr>
          <w:rFonts w:ascii="仿宋_GB2312" w:hAnsi="仿宋_GB2312" w:eastAsia="仿宋_GB2312" w:cs="仿宋_GB2312"/>
          <w:lang w:eastAsia="zh-CN"/>
        </w:rPr>
        <w:t>1</w:t>
      </w:r>
      <w:r>
        <w:rPr>
          <w:rFonts w:ascii="仿宋_GB2312" w:hAnsi="仿宋_GB2312" w:eastAsia="仿宋_GB2312" w:cs="仿宋_GB2312"/>
        </w:rPr>
        <w:t>,</w:t>
      </w:r>
      <w:r>
        <w:rPr>
          <w:rFonts w:ascii="仿宋_GB2312" w:hAnsi="仿宋_GB2312" w:eastAsia="仿宋_GB2312" w:cs="仿宋_GB2312"/>
          <w:lang w:eastAsia="zh-CN"/>
        </w:rPr>
        <w:t>642</w:t>
      </w:r>
      <w:r>
        <w:rPr>
          <w:rFonts w:ascii="仿宋_GB2312" w:hAnsi="仿宋_GB2312" w:eastAsia="仿宋_GB2312" w:cs="仿宋_GB2312"/>
        </w:rPr>
        <w:t>,</w:t>
      </w:r>
      <w:r>
        <w:rPr>
          <w:rFonts w:ascii="仿宋_GB2312" w:hAnsi="仿宋_GB2312" w:eastAsia="仿宋_GB2312" w:cs="仿宋_GB2312"/>
          <w:lang w:eastAsia="zh-CN"/>
        </w:rPr>
        <w:t>5</w:t>
      </w:r>
      <w:r>
        <w:rPr>
          <w:rFonts w:ascii="仿宋_GB2312" w:hAnsi="仿宋_GB2312" w:eastAsia="仿宋_GB2312" w:cs="仿宋_GB2312"/>
        </w:rPr>
        <w:t>00.00</w:t>
      </w:r>
    </w:p>
    <w:p w14:paraId="4761663B">
      <w:pPr>
        <w:pStyle w:val="4"/>
        <w:rPr>
          <w:rFonts w:hint="default"/>
        </w:rPr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64C04771">
      <w:pPr>
        <w:pStyle w:val="4"/>
        <w:rPr>
          <w:rFonts w:hint="default"/>
        </w:rPr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1495"/>
        <w:gridCol w:w="772"/>
        <w:gridCol w:w="1416"/>
        <w:gridCol w:w="719"/>
        <w:gridCol w:w="719"/>
        <w:gridCol w:w="719"/>
        <w:gridCol w:w="719"/>
        <w:gridCol w:w="719"/>
        <w:gridCol w:w="719"/>
      </w:tblGrid>
      <w:tr w14:paraId="3E12F9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2D2451AF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686" w:type="dxa"/>
          </w:tcPr>
          <w:p w14:paraId="79CC4034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06" w:type="dxa"/>
          </w:tcPr>
          <w:p w14:paraId="1F7329A8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416" w:type="dxa"/>
          </w:tcPr>
          <w:p w14:paraId="298BAB4E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85" w:type="dxa"/>
          </w:tcPr>
          <w:p w14:paraId="3D1287E6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85" w:type="dxa"/>
          </w:tcPr>
          <w:p w14:paraId="4614EF38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85" w:type="dxa"/>
          </w:tcPr>
          <w:p w14:paraId="6A5D766B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85" w:type="dxa"/>
          </w:tcPr>
          <w:p w14:paraId="214F9186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85" w:type="dxa"/>
          </w:tcPr>
          <w:p w14:paraId="73A12AED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85" w:type="dxa"/>
          </w:tcPr>
          <w:p w14:paraId="39EBB4C0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</w:tr>
      <w:tr w14:paraId="4C11BD1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51CEC51C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686" w:type="dxa"/>
          </w:tcPr>
          <w:p w14:paraId="60F776F6">
            <w:pPr>
              <w:pStyle w:val="4"/>
              <w:rPr>
                <w:rFonts w:hint="default"/>
              </w:rPr>
            </w:pPr>
            <w:r>
              <w:rPr>
                <w:rFonts w:ascii="仿宋" w:hAnsi="仿宋" w:eastAsia="仿宋" w:cs="仿宋"/>
              </w:rPr>
              <w:t>2026入境游旅行商大会暨陕西入境旅游产品推介会组织实施服务</w:t>
            </w:r>
          </w:p>
        </w:tc>
        <w:tc>
          <w:tcPr>
            <w:tcW w:w="806" w:type="dxa"/>
          </w:tcPr>
          <w:p w14:paraId="4C43F5D3">
            <w:pPr>
              <w:pStyle w:val="4"/>
              <w:jc w:val="right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416" w:type="dxa"/>
          </w:tcPr>
          <w:p w14:paraId="4E4B16B1">
            <w:pPr>
              <w:pStyle w:val="4"/>
              <w:jc w:val="right"/>
              <w:rPr>
                <w:rFonts w:hint="default"/>
              </w:rPr>
            </w:pPr>
            <w:r>
              <w:rPr>
                <w:rFonts w:ascii="仿宋" w:hAnsi="仿宋" w:eastAsia="仿宋" w:cs="仿宋"/>
              </w:rPr>
              <w:t>1,642,500.00</w:t>
            </w:r>
          </w:p>
        </w:tc>
        <w:tc>
          <w:tcPr>
            <w:tcW w:w="785" w:type="dxa"/>
          </w:tcPr>
          <w:p w14:paraId="487A654A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85" w:type="dxa"/>
          </w:tcPr>
          <w:p w14:paraId="43393090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85" w:type="dxa"/>
          </w:tcPr>
          <w:p w14:paraId="02E4D6E0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85" w:type="dxa"/>
          </w:tcPr>
          <w:p w14:paraId="1507901C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85" w:type="dxa"/>
          </w:tcPr>
          <w:p w14:paraId="5C7B3A68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85" w:type="dxa"/>
          </w:tcPr>
          <w:p w14:paraId="074A58F2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7D829D5D">
      <w:pPr>
        <w:pStyle w:val="4"/>
        <w:outlineLvl w:val="2"/>
        <w:rPr>
          <w:rFonts w:hint="default"/>
        </w:rPr>
      </w:pPr>
      <w:r>
        <w:rPr>
          <w:rFonts w:ascii="仿宋_GB2312" w:hAnsi="仿宋_GB2312" w:eastAsia="仿宋_GB2312" w:cs="仿宋_GB2312"/>
          <w:b/>
          <w:sz w:val="28"/>
        </w:rPr>
        <w:t>3.2.2服务要求</w:t>
      </w:r>
    </w:p>
    <w:p w14:paraId="384F60FC">
      <w:pPr>
        <w:pStyle w:val="4"/>
        <w:rPr>
          <w:rFonts w:hint="default"/>
        </w:rPr>
      </w:pPr>
      <w:r>
        <w:rPr>
          <w:rFonts w:ascii="仿宋_GB2312" w:hAnsi="仿宋_GB2312" w:eastAsia="仿宋_GB2312" w:cs="仿宋_GB2312"/>
        </w:rPr>
        <w:t>采购包1：</w:t>
      </w:r>
    </w:p>
    <w:p w14:paraId="5B8AB1A2">
      <w:pPr>
        <w:pStyle w:val="4"/>
        <w:rPr>
          <w:rFonts w:hint="default"/>
        </w:rPr>
      </w:pPr>
      <w:r>
        <w:rPr>
          <w:rFonts w:ascii="仿宋_GB2312" w:hAnsi="仿宋_GB2312" w:eastAsia="仿宋_GB2312" w:cs="仿宋_GB2312"/>
        </w:rPr>
        <w:t>标的名称：</w:t>
      </w:r>
      <w:r>
        <w:rPr>
          <w:rFonts w:ascii="仿宋" w:hAnsi="仿宋" w:eastAsia="仿宋" w:cs="仿宋"/>
        </w:rPr>
        <w:t>2026入境游旅行商大会暨陕西入境旅游产品推介会组织实施服务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3"/>
        <w:gridCol w:w="945"/>
        <w:gridCol w:w="6884"/>
      </w:tblGrid>
      <w:tr w14:paraId="716CDE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 w14:paraId="4A34D81A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996" w:type="dxa"/>
          </w:tcPr>
          <w:p w14:paraId="1D4AC6CA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7464" w:type="dxa"/>
          </w:tcPr>
          <w:p w14:paraId="7A3D1F52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4DCE2A9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 w14:paraId="1B5C0678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996" w:type="dxa"/>
          </w:tcPr>
          <w:p w14:paraId="20F4723F"/>
        </w:tc>
        <w:tc>
          <w:tcPr>
            <w:tcW w:w="7464" w:type="dxa"/>
          </w:tcPr>
          <w:p w14:paraId="7F9BE916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一、项目概况</w:t>
            </w:r>
          </w:p>
          <w:p w14:paraId="38194AFA">
            <w:pPr>
              <w:pStyle w:val="4"/>
              <w:ind w:firstLine="400" w:firstLineChars="200"/>
              <w:rPr>
                <w:rFonts w:hint="default"/>
              </w:rPr>
            </w:pPr>
            <w:r>
              <w:rPr>
                <w:rFonts w:ascii="仿宋" w:hAnsi="仿宋" w:eastAsia="仿宋" w:cs="仿宋"/>
              </w:rPr>
              <w:t>为进一步加强国际旅游交流合作，搭建陕西与境内外旅游企业对接平台，促进入境旅游发展，陕西省和旅游厅将于2026年6月上旬（具体时间由采购方通知）在西安举办“2026入境游旅行商大会暨陕西入境旅游产品推介会”。供应商需统筹做好大会组织实施与全程会务保障服务，邀约境内外重点入境旅行商来陕开展实地踩线、洽谈对接与合作交流，系统做好陕西优质文旅资源及入境旅游线路产品集中展示、专场推介与精准引流。</w:t>
            </w:r>
          </w:p>
        </w:tc>
      </w:tr>
      <w:tr w14:paraId="5FF3D2D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 w14:paraId="2EF9B0F9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996" w:type="dxa"/>
          </w:tcPr>
          <w:p w14:paraId="3BB6288C"/>
        </w:tc>
        <w:tc>
          <w:tcPr>
            <w:tcW w:w="7464" w:type="dxa"/>
          </w:tcPr>
          <w:p w14:paraId="5CE61DEC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二、服务内容及要求</w:t>
            </w:r>
          </w:p>
          <w:p w14:paraId="6A81C53F">
            <w:pPr>
              <w:pStyle w:val="4"/>
              <w:ind w:firstLine="400" w:firstLineChars="200"/>
              <w:rPr>
                <w:rFonts w:hint="default"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1.负责活动的整体策划组织、参会嘉宾的邀请接待、会务各环节的实施、活动的宣传推广、活动音视频资料归档留存等工作，要求确保活动流程科学严谨、环节设置合理衔接顺畅、节点管控精准。</w:t>
            </w:r>
          </w:p>
          <w:p w14:paraId="3BD3D857">
            <w:pPr>
              <w:pStyle w:val="4"/>
              <w:ind w:firstLine="400" w:firstLineChars="200"/>
              <w:rPr>
                <w:rFonts w:hint="default"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2.负责场地全案规划与搭建布置，包含会场租赁规划及动线设计、会场设备搭建及布置、氛围营造、展览展示区规划及布置、休息室租赁及规划布置服务保障、全套活动物料制作及布置等。</w:t>
            </w:r>
          </w:p>
          <w:p w14:paraId="5ABFCAB1">
            <w:pPr>
              <w:pStyle w:val="4"/>
              <w:ind w:firstLine="400" w:firstLineChars="200"/>
              <w:rPr>
                <w:rFonts w:hint="default"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3.负责提供视觉设计服务，确保风格统一、主题突出、符合活动规范。</w:t>
            </w:r>
          </w:p>
          <w:p w14:paraId="0CA1396F">
            <w:pPr>
              <w:pStyle w:val="4"/>
              <w:ind w:firstLine="400" w:firstLineChars="200"/>
              <w:rPr>
                <w:rFonts w:hint="default"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4.负责提供会务服务，包含但不限于执行团队人员配备、会议办公物资配备等。</w:t>
            </w:r>
          </w:p>
          <w:p w14:paraId="79DD57D3">
            <w:pPr>
              <w:pStyle w:val="4"/>
              <w:ind w:firstLine="400" w:firstLineChars="200"/>
              <w:rPr>
                <w:rFonts w:hint="default"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5</w:t>
            </w:r>
            <w:r>
              <w:rPr>
                <w:rFonts w:ascii="仿宋_GB2312" w:hAnsi="仿宋_GB2312" w:eastAsia="仿宋_GB2312" w:cs="仿宋_GB2312"/>
                <w:lang w:eastAsia="zh-CN"/>
              </w:rPr>
              <w:t>.</w:t>
            </w:r>
            <w:r>
              <w:rPr>
                <w:rFonts w:ascii="仿宋_GB2312" w:hAnsi="仿宋_GB2312" w:eastAsia="仿宋_GB2312" w:cs="仿宋_GB2312"/>
              </w:rPr>
              <w:t>负责设计嘉宾考察踩线线路并执行服务，包含但不限于执行团队人员配备、物资配备等。</w:t>
            </w:r>
          </w:p>
          <w:p w14:paraId="4F35BE92">
            <w:pPr>
              <w:pStyle w:val="4"/>
              <w:ind w:firstLine="400" w:firstLineChars="200"/>
              <w:rPr>
                <w:rFonts w:hint="default"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6.负责提供翻译服务，覆盖中英双语同声传译、交替传译、文件笔译等专业翻译，交传数量需满足参会企业业务洽谈需求。</w:t>
            </w:r>
          </w:p>
          <w:p w14:paraId="1AF42E11">
            <w:pPr>
              <w:pStyle w:val="4"/>
              <w:ind w:firstLine="400" w:firstLineChars="200"/>
              <w:rPr>
                <w:rFonts w:hint="default"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7.负责根据风险预判编制全面、可执行的应急预案。成立应急小组，明确职责分工、响应流程、处置措施。确保突发事件快速响应、妥善处置、零重大安全事故。</w:t>
            </w:r>
          </w:p>
          <w:p w14:paraId="6432C16D">
            <w:pPr>
              <w:pStyle w:val="4"/>
              <w:ind w:firstLine="400" w:firstLineChars="200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8.其他有利于活动开展的事项，采购方和中标方需共同协商，经采购方同意后执行。</w:t>
            </w:r>
          </w:p>
        </w:tc>
      </w:tr>
    </w:tbl>
    <w:p w14:paraId="248AD00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0F92C55"/>
    <w:rsid w:val="7F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2025-12-25T05:59:00Z</dcterms:created>
  <dc:creator>Administrator</dc:creator>
  <cp:lastModifiedBy>Administrator</cp:lastModifiedBy>
  <dcterms:modified xsi:type="dcterms:W3CDTF">2026-05-22T10:47:59Z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C1CB02E5756241A09848EB0875311565_12</vt:lpwstr>
  </property>
  <property fmtid="{D5CDD505-2E9C-101B-9397-08002B2CF9AE}" pid="4" name="KSOTemplateDocerSaveRecord">
    <vt:lpwstr>eyJoZGlkIjoiOGI1NjUzZTFhYWM0NmYwYjE1NTBlNzgxOGI1YTIyMDMifQ==</vt:lpwstr>
  </property>
</Properties>
</file>