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版本号：HRC-ZBDL-2026-00447.1B120260603001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2025年称重与质量技术能力提升装备项目（五）(二次)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HRC-ZBDL-2026-00447.1B1</w:t>
      </w:r>
      <w:r>
        <w:br/>
      </w:r>
      <w:r>
        <w:br/>
      </w:r>
      <w:r>
        <w:br/>
      </w:r>
    </w:p>
    <w:p>
      <w:pPr>
        <w:pStyle w:val="null3"/>
        <w:jc w:val="center"/>
        <w:outlineLvl w:val="2"/>
      </w:pPr>
      <w:r>
        <w:rPr>
          <w:rFonts w:ascii="仿宋_GB2312" w:hAnsi="仿宋_GB2312" w:cs="仿宋_GB2312" w:eastAsia="仿宋_GB2312"/>
          <w:sz w:val="28"/>
          <w:b/>
        </w:rPr>
        <w:t>陕西省计量科学研究院</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陕西省计量科学研究院</w:t>
      </w:r>
      <w:r>
        <w:rPr>
          <w:rFonts w:ascii="仿宋_GB2312" w:hAnsi="仿宋_GB2312" w:cs="仿宋_GB2312" w:eastAsia="仿宋_GB2312"/>
        </w:rPr>
        <w:t>委托，拟对</w:t>
      </w:r>
      <w:r>
        <w:rPr>
          <w:rFonts w:ascii="仿宋_GB2312" w:hAnsi="仿宋_GB2312" w:cs="仿宋_GB2312" w:eastAsia="仿宋_GB2312"/>
        </w:rPr>
        <w:t>2025年称重与质量技术能力提升装备项目（五）(二次)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HRC-ZBDL-2026-00447.1B1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2025年称重与质量技术能力提升装备项目（五）(二次)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2025年称重与质量技术能力提升装备项目（五）</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采购包1（2025年称重与质量技术能力提升装备项目（五））：属于专门面向中小企业采购。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法定代表人（负责人）委托授权书/身份证明：法定代表人（单位负责人）授权委托书（附法定代表人（单位负责人）、被授权人身份证复印件；（法定代表人（单位负责人）直接参加的，须提供法定代表人（单位负责人）身份证明书及身份证复印件且与营业执照上信息须一致）；非法人单位参照执行。</w:t>
      </w:r>
    </w:p>
    <w:p>
      <w:pPr>
        <w:pStyle w:val="null3"/>
      </w:pPr>
      <w:r>
        <w:rPr>
          <w:rFonts w:ascii="仿宋_GB2312" w:hAnsi="仿宋_GB2312" w:cs="仿宋_GB2312" w:eastAsia="仿宋_GB2312"/>
        </w:rPr>
        <w:t>3、信用记录：提供《基本资格条件承诺函》声明，经查，投标人未被列入“信用中国”网站记录的“失信被执行人”或“重大税收违法案件当事人”名单；不处于“中国政府采购网”记录的“政府采购严重违法失信行为记录名单”中的禁止参加政府采购活动期间。</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陕西省计量科学研究院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西安市航天基地神舟六路南段580号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陕西省计量科学研究院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029-85838133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15209203045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采购包1：2,033,472.00元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开户名称：华睿诚项目管理有限公司</w:t>
            </w:r>
          </w:p>
          <w:p>
            <w:pPr>
              <w:pStyle w:val="null3"/>
            </w:pPr>
            <w:r>
              <w:rPr>
                <w:rFonts w:ascii="仿宋_GB2312" w:hAnsi="仿宋_GB2312" w:cs="仿宋_GB2312" w:eastAsia="仿宋_GB2312"/>
              </w:rPr>
              <w:t>开户银行：平安银行西安分行营业部/平安银行西安分行（行号：307791041016 ）</w:t>
            </w:r>
          </w:p>
          <w:p>
            <w:pPr>
              <w:pStyle w:val="null3"/>
            </w:pPr>
            <w:r>
              <w:rPr>
                <w:rFonts w:ascii="仿宋_GB2312" w:hAnsi="仿宋_GB2312" w:cs="仿宋_GB2312" w:eastAsia="仿宋_GB2312"/>
              </w:rPr>
              <w:t>银行账号：30205868007002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在领取中标通知书时，依据《国家计委关于印发&lt;招标代理服务收费管理暂行办法&gt;的通知》(计价格〔2002〕1980号)、（发改办价格〔2003〕857号）以及《国家发展改革委关于降低部分建设项目收费标准规范收费行为等有关问题的通知》(发改价格〔2011〕534号)，向华睿诚项目管理有限公司交纳招标服务费，代理费不足7000元时按7000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陕西省计量科学研究院</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陕西省计量科学研究院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陕西省计量科学研究院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验收以合同、招标文件、投标文件、证书、国家相应的标准、规范等为依据。符合合同要求。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联系人：何幸</w:t>
      </w:r>
    </w:p>
    <w:p>
      <w:pPr>
        <w:pStyle w:val="null3"/>
      </w:pPr>
      <w:r>
        <w:rPr>
          <w:rFonts w:ascii="仿宋_GB2312" w:hAnsi="仿宋_GB2312" w:cs="仿宋_GB2312" w:eastAsia="仿宋_GB2312"/>
        </w:rPr>
        <w:t>联系电话：15209203045</w:t>
      </w:r>
    </w:p>
    <w:p>
      <w:pPr>
        <w:pStyle w:val="null3"/>
      </w:pPr>
      <w:r>
        <w:rPr>
          <w:rFonts w:ascii="仿宋_GB2312" w:hAnsi="仿宋_GB2312" w:cs="仿宋_GB2312" w:eastAsia="仿宋_GB2312"/>
        </w:rPr>
        <w:t>地址：陕西省西安市雁塔区曲江新区雁翔路3269号旺座曲江E座29层2901号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采购2025年称重与质量技术能力提升装备项目（五）</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2,033,472.00</w:t>
      </w:r>
    </w:p>
    <w:p>
      <w:pPr>
        <w:pStyle w:val="null3"/>
      </w:pPr>
      <w:r>
        <w:rPr>
          <w:rFonts w:ascii="仿宋_GB2312" w:hAnsi="仿宋_GB2312" w:cs="仿宋_GB2312" w:eastAsia="仿宋_GB2312"/>
        </w:rPr>
        <w:t>采购包最高限价（元）: 2,033,472.00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仪器设备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2,033,472.00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标的名称：仪器设备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0"/>
                <w:b/>
              </w:rPr>
              <w:t>拟购设备一览表</w:t>
            </w:r>
          </w:p>
          <w:tbl>
            <w:tblPr>
              <w:tblBorders>
                <w:top w:val="none" w:color="000000" w:sz="4"/>
                <w:left w:val="none" w:color="000000" w:sz="4"/>
                <w:bottom w:val="none" w:color="000000" w:sz="4"/>
                <w:right w:val="none" w:color="000000" w:sz="4"/>
                <w:insideH w:val="none"/>
                <w:insideV w:val="none"/>
              </w:tblBorders>
            </w:tblPr>
            <w:tblGrid>
              <w:gridCol w:w="189"/>
              <w:gridCol w:w="581"/>
              <w:gridCol w:w="198"/>
              <w:gridCol w:w="1130"/>
              <w:gridCol w:w="302"/>
              <w:gridCol w:w="153"/>
            </w:tblGrid>
            <w:tr>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项目序号</w:t>
                  </w:r>
                </w:p>
              </w:tc>
              <w:tc>
                <w:tcPr>
                  <w:tcW w:type="dxa" w:w="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项目名称</w:t>
                  </w:r>
                </w:p>
              </w:tc>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设备序号</w:t>
                  </w:r>
                </w:p>
              </w:tc>
              <w:tc>
                <w:tcPr>
                  <w:tcW w:type="dxa" w:w="11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数量（台</w:t>
                  </w:r>
                  <w:r>
                    <w:rPr>
                      <w:rFonts w:ascii="仿宋_GB2312" w:hAnsi="仿宋_GB2312" w:cs="仿宋_GB2312" w:eastAsia="仿宋_GB2312"/>
                      <w:sz w:val="21"/>
                      <w:b/>
                    </w:rPr>
                    <w:t>/</w:t>
                  </w:r>
                  <w:r>
                    <w:rPr>
                      <w:rFonts w:ascii="仿宋_GB2312" w:hAnsi="仿宋_GB2312" w:cs="仿宋_GB2312" w:eastAsia="仿宋_GB2312"/>
                      <w:sz w:val="21"/>
                      <w:b/>
                    </w:rPr>
                    <w:t>套）</w:t>
                  </w: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w:t>
                  </w:r>
                </w:p>
              </w:tc>
              <w:tc>
                <w:tcPr>
                  <w:tcW w:type="dxa" w:w="5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E1等级公斤砝码标准装置技术改造</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E1</w:t>
                  </w:r>
                  <w:r>
                    <w:rPr>
                      <w:rFonts w:ascii="仿宋_GB2312" w:hAnsi="仿宋_GB2312" w:cs="仿宋_GB2312" w:eastAsia="仿宋_GB2312"/>
                      <w:sz w:val="21"/>
                    </w:rPr>
                    <w:t>等级砝码</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581"/>
                  <w:vMerge/>
                  <w:tcBorders>
                    <w:top w:val="none" w:color="000000" w:sz="4"/>
                    <w:left w:val="single" w:color="000000" w:sz="4"/>
                    <w:bottom w:val="single" w:color="000000" w:sz="4"/>
                    <w:right w:val="single" w:color="000000" w:sz="4"/>
                  </w:tcBorders>
                </w:tcP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质量比较仪</w:t>
                  </w:r>
                  <w:r>
                    <w:rPr>
                      <w:rFonts w:ascii="仿宋_GB2312" w:hAnsi="仿宋_GB2312" w:cs="仿宋_GB2312" w:eastAsia="仿宋_GB2312"/>
                      <w:sz w:val="21"/>
                    </w:rPr>
                    <w:t>（</w:t>
                  </w:r>
                  <w:r>
                    <w:rPr>
                      <w:rFonts w:ascii="仿宋_GB2312" w:hAnsi="仿宋_GB2312" w:cs="仿宋_GB2312" w:eastAsia="仿宋_GB2312"/>
                      <w:sz w:val="21"/>
                    </w:rPr>
                    <w:t>核心产品）</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581"/>
                  <w:vMerge/>
                  <w:tcBorders>
                    <w:top w:val="none" w:color="000000" w:sz="4"/>
                    <w:left w:val="single" w:color="000000" w:sz="4"/>
                    <w:bottom w:val="single" w:color="000000" w:sz="4"/>
                    <w:right w:val="single" w:color="000000" w:sz="4"/>
                  </w:tcBorders>
                </w:tcP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砝码质量检测装置</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30"/>
                <w:b/>
              </w:rPr>
              <w:t>拟购设备技术要求</w:t>
            </w:r>
          </w:p>
          <w:p>
            <w:pPr>
              <w:pStyle w:val="null3"/>
              <w:jc w:val="center"/>
            </w:pPr>
            <w:r>
              <w:rPr>
                <w:rFonts w:ascii="仿宋_GB2312" w:hAnsi="仿宋_GB2312" w:cs="仿宋_GB2312" w:eastAsia="仿宋_GB2312"/>
                <w:sz w:val="24"/>
                <w:b/>
              </w:rPr>
              <w:t>项目一</w:t>
            </w:r>
            <w:r>
              <w:rPr>
                <w:rFonts w:ascii="仿宋_GB2312" w:hAnsi="仿宋_GB2312" w:cs="仿宋_GB2312" w:eastAsia="仿宋_GB2312"/>
                <w:sz w:val="21"/>
                <w:b/>
              </w:rPr>
              <w:t xml:space="preserve">  </w:t>
            </w:r>
            <w:r>
              <w:rPr>
                <w:rFonts w:ascii="仿宋_GB2312" w:hAnsi="仿宋_GB2312" w:cs="仿宋_GB2312" w:eastAsia="仿宋_GB2312"/>
                <w:sz w:val="24"/>
                <w:b/>
              </w:rPr>
              <w:t>E1等级公斤砝码标准装置技术改造</w:t>
            </w:r>
          </w:p>
          <w:p>
            <w:pPr>
              <w:pStyle w:val="null3"/>
              <w:numPr>
                <w:ilvl w:val="0"/>
                <w:numId w:val="1"/>
              </w:numPr>
              <w:jc w:val="left"/>
            </w:pPr>
            <w:r>
              <w:rPr>
                <w:rFonts w:ascii="仿宋_GB2312" w:hAnsi="仿宋_GB2312" w:cs="仿宋_GB2312" w:eastAsia="仿宋_GB2312"/>
                <w:sz w:val="21"/>
              </w:rPr>
              <w:t>拟购置设备名称：</w:t>
            </w:r>
            <w:r>
              <w:rPr>
                <w:rFonts w:ascii="仿宋_GB2312" w:hAnsi="仿宋_GB2312" w:cs="仿宋_GB2312" w:eastAsia="仿宋_GB2312"/>
                <w:sz w:val="21"/>
              </w:rPr>
              <w:t>E</w:t>
            </w:r>
            <w:r>
              <w:rPr>
                <w:rFonts w:ascii="仿宋_GB2312" w:hAnsi="仿宋_GB2312" w:cs="仿宋_GB2312" w:eastAsia="仿宋_GB2312"/>
                <w:sz w:val="21"/>
                <w:vertAlign w:val="subscript"/>
              </w:rPr>
              <w:t>1</w:t>
            </w:r>
            <w:r>
              <w:rPr>
                <w:rFonts w:ascii="仿宋_GB2312" w:hAnsi="仿宋_GB2312" w:cs="仿宋_GB2312" w:eastAsia="仿宋_GB2312"/>
                <w:sz w:val="21"/>
              </w:rPr>
              <w:t>等级砝码</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砝码共</w:t>
            </w:r>
            <w:r>
              <w:rPr>
                <w:rFonts w:ascii="仿宋_GB2312" w:hAnsi="仿宋_GB2312" w:cs="仿宋_GB2312" w:eastAsia="仿宋_GB2312"/>
                <w:sz w:val="21"/>
              </w:rPr>
              <w:t>6个，包含20kg砝码1个，10kg砝码1个，5kg砝码1个，2kg砝码</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1kg砝码1个</w:t>
            </w:r>
            <w:r>
              <w:rPr>
                <w:rFonts w:ascii="仿宋_GB2312" w:hAnsi="仿宋_GB2312" w:cs="仿宋_GB2312" w:eastAsia="仿宋_GB2312"/>
                <w:sz w:val="21"/>
              </w:rPr>
              <w:t>，</w:t>
            </w:r>
            <w:r>
              <w:rPr>
                <w:rFonts w:ascii="仿宋_GB2312" w:hAnsi="仿宋_GB2312" w:cs="仿宋_GB2312" w:eastAsia="仿宋_GB2312"/>
                <w:sz w:val="21"/>
              </w:rPr>
              <w:t>200g</w:t>
            </w:r>
            <w:r>
              <w:rPr>
                <w:rFonts w:ascii="仿宋_GB2312" w:hAnsi="仿宋_GB2312" w:cs="仿宋_GB2312" w:eastAsia="仿宋_GB2312"/>
                <w:sz w:val="21"/>
              </w:rPr>
              <w:t>砝码</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,20</w:t>
            </w:r>
            <w:r>
              <w:rPr>
                <w:rFonts w:ascii="仿宋_GB2312" w:hAnsi="仿宋_GB2312" w:cs="仿宋_GB2312" w:eastAsia="仿宋_GB2312"/>
                <w:sz w:val="21"/>
              </w:rPr>
              <w:t>g砝码</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2</w:t>
            </w:r>
            <w:r>
              <w:rPr>
                <w:rFonts w:ascii="仿宋_GB2312" w:hAnsi="仿宋_GB2312" w:cs="仿宋_GB2312" w:eastAsia="仿宋_GB2312"/>
                <w:sz w:val="21"/>
              </w:rPr>
              <w:t>g砝码1个</w:t>
            </w:r>
            <w:r>
              <w:rPr>
                <w:rFonts w:ascii="仿宋_GB2312" w:hAnsi="仿宋_GB2312" w:cs="仿宋_GB2312" w:eastAsia="仿宋_GB2312"/>
                <w:sz w:val="21"/>
              </w:rPr>
              <w:t>。</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JF1</w:t>
            </w:r>
            <w:r>
              <w:rPr>
                <w:rFonts w:ascii="仿宋_GB2312" w:hAnsi="仿宋_GB2312" w:cs="仿宋_GB2312" w:eastAsia="仿宋_GB2312"/>
                <w:sz w:val="21"/>
                <w:color w:val="000000"/>
              </w:rPr>
              <w:t>无磁不锈钢</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等级</w:t>
            </w:r>
            <w:r>
              <w:rPr>
                <w:rFonts w:ascii="仿宋_GB2312" w:hAnsi="仿宋_GB2312" w:cs="仿宋_GB2312" w:eastAsia="仿宋_GB2312"/>
                <w:sz w:val="21"/>
                <w:color w:val="000000"/>
              </w:rPr>
              <w:t>：</w:t>
            </w:r>
            <w:r>
              <w:rPr>
                <w:rFonts w:ascii="仿宋_GB2312" w:hAnsi="仿宋_GB2312" w:cs="仿宋_GB2312" w:eastAsia="仿宋_GB2312"/>
                <w:sz w:val="21"/>
                <w:color w:val="000000"/>
              </w:rPr>
              <w:t>E</w:t>
            </w:r>
            <w:r>
              <w:rPr>
                <w:rFonts w:ascii="仿宋_GB2312" w:hAnsi="仿宋_GB2312" w:cs="仿宋_GB2312" w:eastAsia="仿宋_GB2312"/>
                <w:sz w:val="21"/>
                <w:color w:val="000000"/>
                <w:vertAlign w:val="subscript"/>
              </w:rPr>
              <w:t>1</w:t>
            </w:r>
            <w:r>
              <w:rPr>
                <w:rFonts w:ascii="仿宋_GB2312" w:hAnsi="仿宋_GB2312" w:cs="仿宋_GB2312" w:eastAsia="仿宋_GB2312"/>
                <w:sz w:val="21"/>
                <w:color w:val="000000"/>
              </w:rPr>
              <w:t>等级；</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应符合</w:t>
            </w:r>
            <w:r>
              <w:rPr>
                <w:rFonts w:ascii="仿宋_GB2312" w:hAnsi="仿宋_GB2312" w:cs="仿宋_GB2312" w:eastAsia="仿宋_GB2312"/>
                <w:sz w:val="21"/>
                <w:color w:val="000000"/>
              </w:rPr>
              <w:t>JJG 99-20</w:t>
            </w:r>
            <w:r>
              <w:rPr>
                <w:rFonts w:ascii="仿宋_GB2312" w:hAnsi="仿宋_GB2312" w:cs="仿宋_GB2312" w:eastAsia="仿宋_GB2312"/>
                <w:sz w:val="21"/>
                <w:color w:val="000000"/>
              </w:rPr>
              <w:t>22</w:t>
            </w:r>
            <w:r>
              <w:rPr>
                <w:rFonts w:ascii="仿宋_GB2312" w:hAnsi="仿宋_GB2312" w:cs="仿宋_GB2312" w:eastAsia="仿宋_GB2312"/>
                <w:sz w:val="21"/>
                <w:color w:val="000000"/>
              </w:rPr>
              <w:t>《砝码》规程要求，砝码体有编号有等级标识；</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附带铝合金砝码盒，砝码夹具；</w:t>
            </w:r>
          </w:p>
          <w:p>
            <w:pPr>
              <w:pStyle w:val="null3"/>
              <w:jc w:val="both"/>
            </w:pPr>
            <w:r>
              <w:rPr>
                <w:rFonts w:ascii="仿宋_GB2312" w:hAnsi="仿宋_GB2312" w:cs="仿宋_GB2312" w:eastAsia="仿宋_GB2312"/>
                <w:sz w:val="21"/>
              </w:rPr>
              <w:t>6.供货时提供</w:t>
            </w:r>
            <w:r>
              <w:rPr>
                <w:rFonts w:ascii="仿宋_GB2312" w:hAnsi="仿宋_GB2312" w:cs="仿宋_GB2312" w:eastAsia="仿宋_GB2312"/>
                <w:sz w:val="21"/>
                <w:color w:val="000000"/>
              </w:rPr>
              <w:t>中国计量院检定证书。</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、拟购置设备名称：质量比较仪</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可读性：</w:t>
            </w:r>
            <w:r>
              <w:rPr>
                <w:rFonts w:ascii="仿宋_GB2312" w:hAnsi="仿宋_GB2312" w:cs="仿宋_GB2312" w:eastAsia="仿宋_GB2312"/>
                <w:sz w:val="21"/>
                <w:color w:val="000000"/>
              </w:rPr>
              <w:t>0.0</w:t>
            </w:r>
            <w:r>
              <w:rPr>
                <w:rFonts w:ascii="仿宋_GB2312" w:hAnsi="仿宋_GB2312" w:cs="仿宋_GB2312" w:eastAsia="仿宋_GB2312"/>
                <w:sz w:val="21"/>
                <w:color w:val="000000"/>
              </w:rPr>
              <w:t>0</w:t>
            </w:r>
            <w:r>
              <w:rPr>
                <w:rFonts w:ascii="仿宋_GB2312" w:hAnsi="仿宋_GB2312" w:cs="仿宋_GB2312" w:eastAsia="仿宋_GB2312"/>
                <w:sz w:val="21"/>
                <w:color w:val="000000"/>
              </w:rPr>
              <w:t>1 mg ★</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最大量程：</w:t>
            </w:r>
            <w:r>
              <w:rPr>
                <w:rFonts w:ascii="仿宋_GB2312" w:hAnsi="仿宋_GB2312" w:cs="仿宋_GB2312" w:eastAsia="仿宋_GB2312"/>
                <w:sz w:val="21"/>
                <w:color w:val="000000"/>
              </w:rPr>
              <w:t>1011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g</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重复性：</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0.0015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mg (</w:t>
            </w:r>
            <w:r>
              <w:rPr>
                <w:rFonts w:ascii="仿宋_GB2312" w:hAnsi="仿宋_GB2312" w:cs="仿宋_GB2312" w:eastAsia="仿宋_GB2312"/>
                <w:sz w:val="21"/>
                <w:color w:val="000000"/>
              </w:rPr>
              <w:t>10</w:t>
            </w:r>
            <w:r>
              <w:rPr>
                <w:rFonts w:ascii="仿宋_GB2312" w:hAnsi="仿宋_GB2312" w:cs="仿宋_GB2312" w:eastAsia="仿宋_GB2312"/>
                <w:sz w:val="21"/>
                <w:color w:val="000000"/>
              </w:rPr>
              <w:t>次</w:t>
            </w:r>
            <w:r>
              <w:rPr>
                <w:rFonts w:ascii="仿宋_GB2312" w:hAnsi="仿宋_GB2312" w:cs="仿宋_GB2312" w:eastAsia="仿宋_GB2312"/>
                <w:sz w:val="21"/>
                <w:color w:val="000000"/>
              </w:rPr>
              <w:t>AB</w:t>
            </w:r>
            <w:r>
              <w:rPr>
                <w:rFonts w:ascii="仿宋_GB2312" w:hAnsi="仿宋_GB2312" w:cs="仿宋_GB2312" w:eastAsia="仿宋_GB2312"/>
                <w:sz w:val="21"/>
                <w:color w:val="000000"/>
              </w:rPr>
              <w:t>B</w:t>
            </w:r>
            <w:r>
              <w:rPr>
                <w:rFonts w:ascii="仿宋_GB2312" w:hAnsi="仿宋_GB2312" w:cs="仿宋_GB2312" w:eastAsia="仿宋_GB2312"/>
                <w:sz w:val="21"/>
                <w:color w:val="000000"/>
              </w:rPr>
              <w:t>A测量的标准偏差)</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4.偏载</w:t>
            </w:r>
            <w:r>
              <w:rPr>
                <w:rFonts w:ascii="仿宋_GB2312" w:hAnsi="仿宋_GB2312" w:cs="仿宋_GB2312" w:eastAsia="仿宋_GB2312"/>
                <w:sz w:val="21"/>
                <w:color w:val="000000"/>
              </w:rPr>
              <w:t>：</w:t>
            </w:r>
            <w:r>
              <w:rPr>
                <w:rFonts w:ascii="仿宋_GB2312" w:hAnsi="仿宋_GB2312" w:cs="仿宋_GB2312" w:eastAsia="仿宋_GB2312"/>
                <w:sz w:val="21"/>
                <w:color w:val="000000"/>
              </w:rPr>
              <w:t>≤0.</w:t>
            </w:r>
            <w:r>
              <w:rPr>
                <w:rFonts w:ascii="仿宋_GB2312" w:hAnsi="仿宋_GB2312" w:cs="仿宋_GB2312" w:eastAsia="仿宋_GB2312"/>
                <w:sz w:val="21"/>
                <w:color w:val="000000"/>
              </w:rPr>
              <w:t>004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mg</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全自动开关门、打印、去皮等功能，附带打印设备；</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.质保期一年；</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供货时提供</w:t>
            </w:r>
            <w:r>
              <w:rPr>
                <w:rFonts w:ascii="仿宋_GB2312" w:hAnsi="仿宋_GB2312" w:cs="仿宋_GB2312" w:eastAsia="仿宋_GB2312"/>
                <w:sz w:val="21"/>
              </w:rPr>
              <w:t>省级以上计量检测机构</w:t>
            </w:r>
            <w:r>
              <w:rPr>
                <w:rFonts w:ascii="仿宋_GB2312" w:hAnsi="仿宋_GB2312" w:cs="仿宋_GB2312" w:eastAsia="仿宋_GB2312"/>
                <w:sz w:val="21"/>
              </w:rPr>
              <w:t>校准证书。</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、拟购置设备名称：</w:t>
            </w:r>
            <w:r>
              <w:rPr>
                <w:rFonts w:ascii="仿宋_GB2312" w:hAnsi="仿宋_GB2312" w:cs="仿宋_GB2312" w:eastAsia="仿宋_GB2312"/>
                <w:sz w:val="21"/>
              </w:rPr>
              <w:t>砝码质量检测装置</w:t>
            </w:r>
            <w:r>
              <w:rPr>
                <w:rFonts w:ascii="仿宋_GB2312" w:hAnsi="仿宋_GB2312" w:cs="仿宋_GB2312" w:eastAsia="仿宋_GB2312"/>
                <w:sz w:val="21"/>
              </w:rPr>
              <w:t xml:space="preserve">    </w:t>
            </w:r>
          </w:p>
          <w:p>
            <w:pPr>
              <w:pStyle w:val="null3"/>
              <w:spacing w:before="45"/>
            </w:pPr>
            <w:r>
              <w:rPr>
                <w:rFonts w:ascii="仿宋_GB2312" w:hAnsi="仿宋_GB2312" w:cs="仿宋_GB2312" w:eastAsia="仿宋_GB2312"/>
                <w:sz w:val="21"/>
              </w:rPr>
              <w:t>1.</w:t>
            </w:r>
            <w:r>
              <w:rPr>
                <w:rFonts w:ascii="仿宋_GB2312" w:hAnsi="仿宋_GB2312" w:cs="仿宋_GB2312" w:eastAsia="仿宋_GB2312"/>
                <w:sz w:val="21"/>
              </w:rPr>
              <w:t>测量范围：</w:t>
            </w:r>
            <w:r>
              <w:rPr>
                <w:rFonts w:ascii="仿宋_GB2312" w:hAnsi="仿宋_GB2312" w:cs="仿宋_GB2312" w:eastAsia="仿宋_GB2312"/>
                <w:sz w:val="21"/>
              </w:rPr>
              <w:t>5kg-25kg;</w:t>
            </w:r>
            <w:r>
              <w:rPr>
                <w:rFonts w:ascii="仿宋_GB2312" w:hAnsi="仿宋_GB2312" w:cs="仿宋_GB2312" w:eastAsia="仿宋_GB2312"/>
                <w:sz w:val="21"/>
              </w:rPr>
              <w:t>▲</w:t>
            </w:r>
          </w:p>
          <w:p>
            <w:pPr>
              <w:pStyle w:val="null3"/>
              <w:spacing w:before="45"/>
            </w:pPr>
            <w:r>
              <w:rPr>
                <w:rFonts w:ascii="仿宋_GB2312" w:hAnsi="仿宋_GB2312" w:cs="仿宋_GB2312" w:eastAsia="仿宋_GB2312"/>
                <w:sz w:val="21"/>
              </w:rPr>
              <w:t>2.</w:t>
            </w:r>
            <w:r>
              <w:rPr>
                <w:rFonts w:ascii="仿宋_GB2312" w:hAnsi="仿宋_GB2312" w:cs="仿宋_GB2312" w:eastAsia="仿宋_GB2312"/>
                <w:sz w:val="21"/>
              </w:rPr>
              <w:t>适用等级：</w:t>
            </w:r>
            <w:r>
              <w:rPr>
                <w:rFonts w:ascii="仿宋_GB2312" w:hAnsi="仿宋_GB2312" w:cs="仿宋_GB2312" w:eastAsia="仿宋_GB2312"/>
                <w:sz w:val="21"/>
              </w:rPr>
              <w:t>E</w:t>
            </w:r>
            <w:r>
              <w:rPr>
                <w:rFonts w:ascii="仿宋_GB2312" w:hAnsi="仿宋_GB2312" w:cs="仿宋_GB2312" w:eastAsia="仿宋_GB2312"/>
                <w:sz w:val="21"/>
                <w:vertAlign w:val="subscript"/>
              </w:rPr>
              <w:t>2</w:t>
            </w:r>
            <w:r>
              <w:rPr>
                <w:rFonts w:ascii="仿宋_GB2312" w:hAnsi="仿宋_GB2312" w:cs="仿宋_GB2312" w:eastAsia="仿宋_GB2312"/>
                <w:sz w:val="21"/>
              </w:rPr>
              <w:t>、</w:t>
            </w:r>
            <w:r>
              <w:rPr>
                <w:rFonts w:ascii="仿宋_GB2312" w:hAnsi="仿宋_GB2312" w:cs="仿宋_GB2312" w:eastAsia="仿宋_GB2312"/>
                <w:sz w:val="21"/>
              </w:rPr>
              <w:t>F</w:t>
            </w:r>
            <w:r>
              <w:rPr>
                <w:rFonts w:ascii="仿宋_GB2312" w:hAnsi="仿宋_GB2312" w:cs="仿宋_GB2312" w:eastAsia="仿宋_GB2312"/>
                <w:sz w:val="21"/>
                <w:vertAlign w:val="subscript"/>
              </w:rPr>
              <w:t>1</w:t>
            </w:r>
            <w:r>
              <w:rPr>
                <w:rFonts w:ascii="仿宋_GB2312" w:hAnsi="仿宋_GB2312" w:cs="仿宋_GB2312" w:eastAsia="仿宋_GB2312"/>
                <w:sz w:val="21"/>
              </w:rPr>
              <w:t>、</w:t>
            </w:r>
            <w:r>
              <w:rPr>
                <w:rFonts w:ascii="仿宋_GB2312" w:hAnsi="仿宋_GB2312" w:cs="仿宋_GB2312" w:eastAsia="仿宋_GB2312"/>
                <w:sz w:val="21"/>
              </w:rPr>
              <w:t>F</w:t>
            </w:r>
            <w:r>
              <w:rPr>
                <w:rFonts w:ascii="仿宋_GB2312" w:hAnsi="仿宋_GB2312" w:cs="仿宋_GB2312" w:eastAsia="仿宋_GB2312"/>
                <w:sz w:val="21"/>
                <w:vertAlign w:val="subscript"/>
              </w:rPr>
              <w:t>2</w:t>
            </w:r>
            <w:r>
              <w:rPr>
                <w:rFonts w:ascii="仿宋_GB2312" w:hAnsi="仿宋_GB2312" w:cs="仿宋_GB2312" w:eastAsia="仿宋_GB2312"/>
                <w:sz w:val="21"/>
              </w:rPr>
              <w:t>、</w:t>
            </w:r>
            <w:r>
              <w:rPr>
                <w:rFonts w:ascii="仿宋_GB2312" w:hAnsi="仿宋_GB2312" w:cs="仿宋_GB2312" w:eastAsia="仿宋_GB2312"/>
                <w:sz w:val="21"/>
              </w:rPr>
              <w:t>M</w:t>
            </w:r>
            <w:r>
              <w:rPr>
                <w:rFonts w:ascii="仿宋_GB2312" w:hAnsi="仿宋_GB2312" w:cs="仿宋_GB2312" w:eastAsia="仿宋_GB2312"/>
                <w:sz w:val="21"/>
                <w:vertAlign w:val="subscript"/>
              </w:rPr>
              <w:t>1</w:t>
            </w:r>
            <w:r>
              <w:rPr>
                <w:rFonts w:ascii="仿宋_GB2312" w:hAnsi="仿宋_GB2312" w:cs="仿宋_GB2312" w:eastAsia="仿宋_GB2312"/>
                <w:vertAlign w:val="subscript"/>
              </w:rPr>
              <w:t xml:space="preserve">  </w:t>
            </w:r>
            <w:r>
              <w:rPr>
                <w:rFonts w:ascii="仿宋_GB2312" w:hAnsi="仿宋_GB2312" w:cs="仿宋_GB2312" w:eastAsia="仿宋_GB2312"/>
                <w:sz w:val="21"/>
              </w:rPr>
              <w:t>▲</w:t>
            </w:r>
          </w:p>
          <w:p>
            <w:pPr>
              <w:pStyle w:val="null3"/>
              <w:spacing w:before="45"/>
            </w:pPr>
            <w:r>
              <w:rPr>
                <w:rFonts w:ascii="仿宋_GB2312" w:hAnsi="仿宋_GB2312" w:cs="仿宋_GB2312" w:eastAsia="仿宋_GB2312"/>
                <w:sz w:val="21"/>
              </w:rPr>
              <w:t>3.</w:t>
            </w:r>
            <w:r>
              <w:rPr>
                <w:rFonts w:ascii="仿宋_GB2312" w:hAnsi="仿宋_GB2312" w:cs="仿宋_GB2312" w:eastAsia="仿宋_GB2312"/>
                <w:sz w:val="21"/>
              </w:rPr>
              <w:t>测试方法：自动模式（</w:t>
            </w:r>
            <w:r>
              <w:rPr>
                <w:rFonts w:ascii="仿宋_GB2312" w:hAnsi="仿宋_GB2312" w:cs="仿宋_GB2312" w:eastAsia="仿宋_GB2312"/>
                <w:sz w:val="21"/>
              </w:rPr>
              <w:t>ABBA、ABA）、手动模式</w:t>
            </w:r>
            <w:r>
              <w:rPr>
                <w:rFonts w:ascii="仿宋_GB2312" w:hAnsi="仿宋_GB2312" w:cs="仿宋_GB2312" w:eastAsia="仿宋_GB2312"/>
                <w:sz w:val="20"/>
              </w:rPr>
              <w:t>★</w:t>
            </w:r>
          </w:p>
          <w:p>
            <w:pPr>
              <w:pStyle w:val="null3"/>
              <w:spacing w:before="45"/>
            </w:pPr>
            <w:r>
              <w:rPr>
                <w:rFonts w:ascii="仿宋_GB2312" w:hAnsi="仿宋_GB2312" w:cs="仿宋_GB2312" w:eastAsia="仿宋_GB2312"/>
                <w:sz w:val="21"/>
              </w:rPr>
              <w:t>4.</w:t>
            </w:r>
            <w:r>
              <w:rPr>
                <w:rFonts w:ascii="仿宋_GB2312" w:hAnsi="仿宋_GB2312" w:cs="仿宋_GB2312" w:eastAsia="仿宋_GB2312"/>
                <w:sz w:val="21"/>
              </w:rPr>
              <w:t>测试记录：自动读取比较仪示值，按标准生成原始记录</w:t>
            </w:r>
          </w:p>
          <w:p>
            <w:pPr>
              <w:pStyle w:val="null3"/>
              <w:spacing w:before="45"/>
            </w:pPr>
            <w:r>
              <w:rPr>
                <w:rFonts w:ascii="仿宋_GB2312" w:hAnsi="仿宋_GB2312" w:cs="仿宋_GB2312" w:eastAsia="仿宋_GB2312"/>
                <w:sz w:val="21"/>
              </w:rPr>
              <w:t>5.</w:t>
            </w:r>
            <w:r>
              <w:rPr>
                <w:rFonts w:ascii="仿宋_GB2312" w:hAnsi="仿宋_GB2312" w:cs="仿宋_GB2312" w:eastAsia="仿宋_GB2312"/>
                <w:sz w:val="21"/>
              </w:rPr>
              <w:t>防风罩：两开电动门</w:t>
            </w:r>
          </w:p>
          <w:p>
            <w:pPr>
              <w:pStyle w:val="null3"/>
              <w:spacing w:before="45"/>
            </w:pPr>
            <w:r>
              <w:rPr>
                <w:rFonts w:ascii="仿宋_GB2312" w:hAnsi="仿宋_GB2312" w:cs="仿宋_GB2312" w:eastAsia="仿宋_GB2312"/>
                <w:sz w:val="21"/>
              </w:rPr>
              <w:t>6.</w:t>
            </w:r>
            <w:r>
              <w:rPr>
                <w:rFonts w:ascii="仿宋_GB2312" w:hAnsi="仿宋_GB2312" w:cs="仿宋_GB2312" w:eastAsia="仿宋_GB2312"/>
                <w:sz w:val="21"/>
              </w:rPr>
              <w:t>秤盘改造：叉齿状铝盒金秤盘</w:t>
            </w:r>
          </w:p>
          <w:p>
            <w:pPr>
              <w:pStyle w:val="null3"/>
              <w:ind w:firstLine="546"/>
              <w:jc w:val="left"/>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自合同签订之日起十二个月。供应商逾期交付货物的，每逾期1天，供应商向采购方偿付货款总额的5‱ 的滞纳金。如供应商逾期交货达60天，采购方有权解除合同，同时供应商应及时退还采购方预付款并向采购方支付合同总价 5 ％的违约金，解除合同的通知自到达供应商时生效。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所有设备供货到位，经初步验收合格后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所有设备安装、调试、培训完成后，经甲方科学技术委员会验收合格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仪器到达用户指定地点后，采购方应在合理时间内组织与中标方共同开箱验货, 现场确认设备规格、型号等问题。货物经过验收后中标方可进行安装、调试，达到使用条件后，由采购方负责组织验收，或者邀请有关专家、质检机构等共同进行验收；通过验收的应填写验收表，并交接全部项目资料。验收以合同、招标文件、投标文件、证书、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算，以仪器设备详细技术要求中各产品技术要求为准，无明确要求的质保期壹年。乙方需提供售后服务承诺函。质保期内，损坏部件的修理费、往返运保费等由供应商承担；质保期外，只收取单程的运保费及已维修的原器件成本费，未尽事宜由双方协商解决。</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合同在履行过程中发生的争议、由采购方、中标方当事人协商解决；也可由当地市场监督管理部门调解；协商或调解不成的按下列第二种方式解决:1. 提交西安仲裁委员会仲裁；2. 依法向采购方所在地人民法院起诉。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中标人在领取中标通知书时，需提供纸质响应文件叁份、电子版（U盘）壹份（内容与平台上传的签章版电子文件保持一致），纸质响应文件建议A4纸双面黑白打印，各自装订成册，封面加盖红章及骑缝章，书脊处写明项目名称及项目编号。 2、各投标单位在平台上传投标文件时，同步上传电子保函原件（PDF 格式，确保清晰可辨）或银行转账截图（转账时间、金额、收款账户等关键信息清晰），提交的电子保函或缴费凭证需真实有效，招标代理机构将对平台上的电子保函或转账截图的缴费凭证进行核验，未按本通知要求提交或提交材料不完整、不清晰导致无法核验的，后果由投标单位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2024年度或者2025年度经审计完整的财务报告（包括审计报告、资产负债表、利润表、现金流量表、所有者权益变动表及其附注等相关资料），②可提供截至投标文件提交截止日一年内基本开户银行出具的资信证明（附开户许可证或基本账户存款信息），③供应商注册时间截至投标文件提交截止日不足一年的，可提供成立后任意时段的资产负债表；事业单位提供财务报表，财务报表应当包括：资产负债表、收入支出表或者收入费用表、财政补助收入支出表；（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投标函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法定代表人（负责人）委托授权书/身份证明</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法定代表人（单位负责人）直接参加的，须提供法定代表人（单位负责人）身份证明书及身份证复印件且与营业执照上信息须一致）；非法人单位参照执行。</w:t>
            </w:r>
          </w:p>
        </w:tc>
        <w:tc>
          <w:tcPr>
            <w:tcW w:type="dxa" w:w="1661"/>
          </w:tcPr>
          <w:p>
            <w:pPr>
              <w:pStyle w:val="null3"/>
            </w:pPr>
            <w:r>
              <w:rPr>
                <w:rFonts w:ascii="仿宋_GB2312" w:hAnsi="仿宋_GB2312" w:cs="仿宋_GB2312" w:eastAsia="仿宋_GB2312"/>
              </w:rPr>
              <w:t>投标函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基本资格条件承诺函》声明，经查，投标人未被列入“信用中国”网站记录的“失信被执行人”或“重大税收违法案件当事人”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投标函 供应商应提交的相关资格证明材料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报价一览表及分项报价表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1、提供的资格证明文件是否符合国家法律法规和招标文件的要求，并且齐全、真实、有效； 2、投标文件是否按照招标文件要求的格式编写； 3、投标内容是否有重大缺漏项； 4、投标报价是否具有唯一性； 5、投标文件的签署、加盖印章是否合格、有效； 6、投标报价是否未超过采购预算； 7、投标文件是否响应了招标文件要求的全部条款、条件和规格要求，并且提供了支持文件，没有重大偏离。</w:t>
            </w:r>
          </w:p>
        </w:tc>
        <w:tc>
          <w:tcPr>
            <w:tcW w:type="dxa" w:w="1661"/>
          </w:tcPr>
          <w:p>
            <w:pPr>
              <w:pStyle w:val="null3"/>
            </w:pPr>
            <w:r>
              <w:rPr>
                <w:rFonts w:ascii="仿宋_GB2312" w:hAnsi="仿宋_GB2312" w:cs="仿宋_GB2312" w:eastAsia="仿宋_GB2312"/>
              </w:rPr>
              <w:t>报价一览表及分项报价表 中小企业声明函 业绩 商务应答表 供应商应提交的相关资格证明材料 项目组织架构及人员配备 供货渠道 投标保证金缴纳凭证 产品技术参数表 投标函 培训方案 残疾人福利性单位声明函 标的清单 投标文件封面 售后保证 实施方案及验收方案 监狱企业的证明文件 供应商认为需要说明的其他内容</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按招标文件要求提供投标保证金缴纳凭证</w:t>
            </w:r>
          </w:p>
        </w:tc>
        <w:tc>
          <w:tcPr>
            <w:tcW w:type="dxa" w:w="1661"/>
          </w:tcPr>
          <w:p>
            <w:pPr>
              <w:pStyle w:val="null3"/>
            </w:pPr>
            <w:r>
              <w:rPr>
                <w:rFonts w:ascii="仿宋_GB2312" w:hAnsi="仿宋_GB2312" w:cs="仿宋_GB2312" w:eastAsia="仿宋_GB2312"/>
              </w:rPr>
              <w:t>投标保证金缴纳凭证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技术参数及方案</w:t>
            </w:r>
          </w:p>
        </w:tc>
        <w:tc>
          <w:tcPr>
            <w:tcW w:type="dxa" w:w="2492"/>
          </w:tcPr>
          <w:p>
            <w:pPr>
              <w:pStyle w:val="null3"/>
            </w:pPr>
            <w:r>
              <w:rPr>
                <w:rFonts w:ascii="仿宋_GB2312" w:hAnsi="仿宋_GB2312" w:cs="仿宋_GB2312" w:eastAsia="仿宋_GB2312"/>
              </w:rPr>
              <w:t>投标产品的技术参数、配置和功能需求评审依据为相应的功能证明材料（包括但不限于测试报告、彩页、官网和功能截图等）及投标产品技术参数偏离表等； 1、基本分（满分24分），完全响应招标文件要求，满足采购需求、技术参数没有负偏离，计基本分24分；2、带“▲”号技术参数，每有一项负偏离扣4分，无标识的技术参数，每有一项负偏离扣1分，扣完为止。证明材料须呈现相应功能及技术指标，若未体现或证据链不清晰，按负偏离处理。供应商自行承担因材料提供不全导致的技术参数评审风险。</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报价一览表及分项报价表</w:t>
            </w:r>
          </w:p>
          <w:p>
            <w:pPr>
              <w:pStyle w:val="null3"/>
            </w:pPr>
            <w:r>
              <w:rPr>
                <w:rFonts w:ascii="仿宋_GB2312" w:hAnsi="仿宋_GB2312" w:cs="仿宋_GB2312" w:eastAsia="仿宋_GB2312"/>
              </w:rPr>
              <w:t>供应商认为需要说明的其他内容</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实施方案及验收方案</w:t>
            </w:r>
          </w:p>
        </w:tc>
        <w:tc>
          <w:tcPr>
            <w:tcW w:type="dxa" w:w="2492"/>
          </w:tcPr>
          <w:p>
            <w:pPr>
              <w:pStyle w:val="null3"/>
            </w:pPr>
            <w:r>
              <w:rPr>
                <w:rFonts w:ascii="仿宋_GB2312" w:hAnsi="仿宋_GB2312" w:cs="仿宋_GB2312" w:eastAsia="仿宋_GB2312"/>
              </w:rPr>
              <w:t>提供针对本项目的实施方案及验收方案,包括①总体实施方案②产品安装和调试方案③供货组织安排（包含仓储、运输、派送措施等方面，确保按期交货）④验收方案。 评审标准：方案各部分内容全面详细、阐述条例清晰详尽、符合本项目采购需求，能保障本项目实施得10分；评审内容每缺一项扣2.5分，评审内容有缺陷未完全响应评审标准的扣1分。 说明：缺陷是指内容不合理、虽有内容但不完善、内容表述前后不一致、套用其他项目方案或与项目需求不匹配及其他不利于项目实施的任意一种情形。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实施方案及验收方案</w:t>
            </w:r>
          </w:p>
        </w:tc>
      </w:tr>
      <w:tr>
        <w:tc>
          <w:tcPr>
            <w:tcW w:type="dxa" w:w="831"/>
            <w:vMerge/>
          </w:tcPr>
          <w:p/>
        </w:tc>
        <w:tc>
          <w:tcPr>
            <w:tcW w:type="dxa" w:w="1661"/>
          </w:tcPr>
          <w:p>
            <w:pPr>
              <w:pStyle w:val="null3"/>
            </w:pPr>
            <w:r>
              <w:rPr>
                <w:rFonts w:ascii="仿宋_GB2312" w:hAnsi="仿宋_GB2312" w:cs="仿宋_GB2312" w:eastAsia="仿宋_GB2312"/>
              </w:rPr>
              <w:t>项目组织架构及人员配备</w:t>
            </w:r>
          </w:p>
        </w:tc>
        <w:tc>
          <w:tcPr>
            <w:tcW w:type="dxa" w:w="2492"/>
          </w:tcPr>
          <w:p>
            <w:pPr>
              <w:pStyle w:val="null3"/>
            </w:pPr>
            <w:r>
              <w:rPr>
                <w:rFonts w:ascii="仿宋_GB2312" w:hAnsi="仿宋_GB2312" w:cs="仿宋_GB2312" w:eastAsia="仿宋_GB2312"/>
              </w:rPr>
              <w:t>根据投标人提供的本项目组织架构、人员配备以及管理方案进行综合评审： 人员配备完善、项目组织架构清晰，职责分工明确，管理方案非常合理、协调性高，完全适用且优于本项目需求的，得6分；评审内容每缺一项扣2分，评审内容有缺陷未完全响应评审标准的扣0.5分。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项目组织架构及人员配备</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01月01日至今所投类似业绩（仅限投标人本身）（提供合同复印件加盖公章，以合同签订时间为准），每份计1分，满分5分。所提供的合同复印件需体现合同签订时间、项目名称，项目供货内容或明细、采购人及供应商名称（公章签署清晰可见）。所提供的业绩证明材料清晰可辨，否则评标委员会可对所提供的业绩证明材料视为不合格业绩，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能提供所投设备的合法来源渠道证明文件（包括但不限于：产品制造商授权、销售协议、代理协议、原厂授权）。 赋分标准：1.产品货源渠道明晰，产品授权齐全。技术资料齐全，备品、配件供应有保障，零配件供应充足、及时，得3分；2.产品货源渠道明晰，产品授权齐全，备品备件等供应基本能满足需要，得2分；3.产品货源渠道不明确，产品授权不齐全，无法确定备品备件供应是否能满足需要，得1分；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供货渠道</w:t>
            </w:r>
          </w:p>
        </w:tc>
      </w:tr>
      <w:tr>
        <w:tc>
          <w:tcPr>
            <w:tcW w:type="dxa" w:w="831"/>
            <w:vMerge/>
          </w:tcPr>
          <w:p/>
        </w:tc>
        <w:tc>
          <w:tcPr>
            <w:tcW w:type="dxa" w:w="1661"/>
          </w:tcPr>
          <w:p>
            <w:pPr>
              <w:pStyle w:val="null3"/>
            </w:pPr>
            <w:r>
              <w:rPr>
                <w:rFonts w:ascii="仿宋_GB2312" w:hAnsi="仿宋_GB2312" w:cs="仿宋_GB2312" w:eastAsia="仿宋_GB2312"/>
              </w:rPr>
              <w:t>售后保证</w:t>
            </w:r>
          </w:p>
        </w:tc>
        <w:tc>
          <w:tcPr>
            <w:tcW w:type="dxa" w:w="2492"/>
          </w:tcPr>
          <w:p>
            <w:pPr>
              <w:pStyle w:val="null3"/>
            </w:pPr>
            <w:r>
              <w:rPr>
                <w:rFonts w:ascii="仿宋_GB2312" w:hAnsi="仿宋_GB2312" w:cs="仿宋_GB2312" w:eastAsia="仿宋_GB2312"/>
              </w:rPr>
              <w:t>根据投标人提供的售后服务方案进行评审，该方案包含：①售后服务人员配置及计划；② 故障处理等的响应时间安排计划；③质量保证期限；④应急处理方案。完整提供上述4项内容的得12分；每有一项未提供扣3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售后保证</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质保期延长一年得1分，最多加2分。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报价一览表及分项报价表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投标人制定完善可行、有针对性的培训服务方案，能够保障使用单位能熟练操作维护和正常使用（满分8分）。 赋分标准：1.培训方案全面、具体、合理性强，得8分； 2.培训方案相对全面、具体，合理性相对较强，得6分； 3.培训方案基本全面、具体，有一定的合理性，得4分； 4.培训方案不够全面，具体，合理性相对较弱，得2分； 5.培训方案不全面、具体，合理性较差，得1分； 6.未提供得0分。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报价一览表及分项报价表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评标基准价：即满足招标文件要求且投标价格最低的投标报价为评标基准价。 其他供应商的价格分按照下列公式计算。投标报价得分=(评标基准价／投标报价)×30 说明：本项目为专门面向中小企业项目，因此不再执行价格评审优惠扶持政策。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详见附件：报价一览表及分项报价表</w:t>
      </w:r>
    </w:p>
    <w:p>
      <w:pPr>
        <w:pStyle w:val="null3"/>
        <w:ind w:firstLine="960"/>
      </w:pPr>
      <w:r>
        <w:rPr>
          <w:rFonts w:ascii="仿宋_GB2312" w:hAnsi="仿宋_GB2312" w:cs="仿宋_GB2312" w:eastAsia="仿宋_GB2312"/>
        </w:rPr>
        <w:t>详见附件：实施方案及验收方案</w:t>
      </w:r>
    </w:p>
    <w:p>
      <w:pPr>
        <w:pStyle w:val="null3"/>
        <w:ind w:firstLine="960"/>
      </w:pPr>
      <w:r>
        <w:rPr>
          <w:rFonts w:ascii="仿宋_GB2312" w:hAnsi="仿宋_GB2312" w:cs="仿宋_GB2312" w:eastAsia="仿宋_GB2312"/>
        </w:rPr>
        <w:t>详见附件：项目组织架构及人员配备</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详见附件：供货渠道</w:t>
      </w:r>
    </w:p>
    <w:p>
      <w:pPr>
        <w:pStyle w:val="null3"/>
        <w:ind w:firstLine="960"/>
      </w:pPr>
      <w:r>
        <w:rPr>
          <w:rFonts w:ascii="仿宋_GB2312" w:hAnsi="仿宋_GB2312" w:cs="仿宋_GB2312" w:eastAsia="仿宋_GB2312"/>
        </w:rPr>
        <w:t>详见附件：售后保证</w:t>
      </w:r>
    </w:p>
    <w:p>
      <w:pPr>
        <w:pStyle w:val="null3"/>
        <w:ind w:firstLine="960"/>
      </w:pPr>
      <w:r>
        <w:rPr>
          <w:rFonts w:ascii="仿宋_GB2312" w:hAnsi="仿宋_GB2312" w:cs="仿宋_GB2312" w:eastAsia="仿宋_GB2312"/>
        </w:rPr>
        <w:t>详见附件：培训方案</w:t>
      </w:r>
    </w:p>
    <w:p>
      <w:pPr>
        <w:pStyle w:val="null3"/>
        <w:ind w:firstLine="960"/>
      </w:pPr>
      <w:r>
        <w:rPr>
          <w:rFonts w:ascii="仿宋_GB2312" w:hAnsi="仿宋_GB2312" w:cs="仿宋_GB2312" w:eastAsia="仿宋_GB2312"/>
        </w:rPr>
        <w:t>详见附件：供应商认为需要说明的其他内容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