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858AE5">
      <w:pPr>
        <w:pStyle w:val="4"/>
        <w:spacing w:line="360" w:lineRule="auto"/>
        <w:jc w:val="center"/>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采购需求</w:t>
      </w:r>
    </w:p>
    <w:p w14:paraId="1EED537E">
      <w:pPr>
        <w:pStyle w:val="4"/>
        <w:spacing w:line="360" w:lineRule="auto"/>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1、工程地点：</w:t>
      </w:r>
    </w:p>
    <w:p w14:paraId="42D832C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西安市阎良区西安航空职业技术学院北校区西院内</w:t>
      </w:r>
    </w:p>
    <w:p w14:paraId="4DDE6A23">
      <w:pPr>
        <w:pStyle w:val="4"/>
        <w:spacing w:line="360" w:lineRule="auto"/>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2、工程概况：</w:t>
      </w:r>
    </w:p>
    <w:p w14:paraId="3369D71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航空智能制造产教融合实践中心改造提升项目</w:t>
      </w:r>
      <w:r>
        <w:rPr>
          <w:rFonts w:hint="eastAsia" w:ascii="宋体" w:hAnsi="宋体" w:eastAsia="宋体" w:cs="宋体"/>
          <w:color w:val="auto"/>
          <w:sz w:val="24"/>
          <w:szCs w:val="24"/>
          <w:highlight w:val="none"/>
          <w:lang w:val="en-US" w:eastAsia="zh-CN"/>
        </w:rPr>
        <w:t>总面积约1987㎡，改造内容包括旧厂房整体建筑外立面翻新升级、室内空间设计改造，以及配套智能化、绿色化设施的适配工程，将原本功能单一的工业厂房改造为集教学实训、参观展示、办公管理于一体的现代化智慧实训基地。</w:t>
      </w:r>
    </w:p>
    <w:p w14:paraId="736E573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改造主要分为两部分：第一部分将原有实习实训车间改造为培训中心，具体施工内容包括外立面墙体修缮翻新，外墙防水、保温、降噪等绿色节能改造，门窗更换，内墙、顶棚的修缮、清理与粉刷，地面材料更换，金属构件的修缮、清理与喷涂等；第二部分将原办公楼整体拆除，新建二层钢构培训楼。</w:t>
      </w:r>
    </w:p>
    <w:p w14:paraId="0BEC7D0E">
      <w:pPr>
        <w:pStyle w:val="4"/>
        <w:spacing w:line="360" w:lineRule="auto"/>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招标范围：</w:t>
      </w:r>
    </w:p>
    <w:p w14:paraId="39B4F84E">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包含西安航空职业技术学院航空智能制造产教融合实践中心项目的全部施工、保修及所有相关工作内容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具体范围</w:t>
      </w:r>
      <w:r>
        <w:rPr>
          <w:rFonts w:hint="eastAsia" w:ascii="宋体" w:hAnsi="宋体" w:eastAsia="宋体" w:cs="宋体"/>
          <w:color w:val="auto"/>
          <w:sz w:val="24"/>
          <w:szCs w:val="24"/>
          <w:highlight w:val="none"/>
          <w:lang w:eastAsia="zh-CN"/>
        </w:rPr>
        <w:t>详见本项目招标文件、</w:t>
      </w:r>
      <w:r>
        <w:rPr>
          <w:rFonts w:hint="eastAsia" w:ascii="宋体" w:hAnsi="宋体" w:eastAsia="宋体" w:cs="宋体"/>
          <w:color w:val="auto"/>
          <w:sz w:val="24"/>
          <w:szCs w:val="24"/>
          <w:highlight w:val="none"/>
          <w:lang w:val="en-US" w:eastAsia="zh-CN"/>
        </w:rPr>
        <w:t>图纸、工程量清单、</w:t>
      </w:r>
      <w:r>
        <w:rPr>
          <w:rFonts w:hint="eastAsia" w:ascii="宋体" w:hAnsi="宋体" w:eastAsia="宋体" w:cs="宋体"/>
          <w:color w:val="auto"/>
          <w:sz w:val="24"/>
          <w:szCs w:val="24"/>
          <w:highlight w:val="none"/>
          <w:lang w:eastAsia="zh-CN"/>
        </w:rPr>
        <w:t>答疑文件等资料。</w:t>
      </w:r>
    </w:p>
    <w:p w14:paraId="2D078D85">
      <w:pPr>
        <w:pStyle w:val="4"/>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4、付款方式：</w:t>
      </w:r>
    </w:p>
    <w:p w14:paraId="4C7800A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本项目无预付款，竣工验收合格后支付至合同价款的60%，审计完成后支付至审计确认工程款的97%，剩余3%工程款待质保期（2年）结束后付清。</w:t>
      </w:r>
    </w:p>
    <w:p w14:paraId="5A2746DB">
      <w:pPr>
        <w:pStyle w:val="4"/>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5、质保期：</w:t>
      </w:r>
    </w:p>
    <w:p w14:paraId="71E4A93A">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本工程质保期符合国家相关规定，具体如下：</w:t>
      </w:r>
    </w:p>
    <w:p w14:paraId="272D2F33">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（1）基础设施工程、房屋建筑的地基基础工程和主体结构工程：为设计文件规定的该工程的合理使用年限。</w:t>
      </w:r>
    </w:p>
    <w:p w14:paraId="06CDA566">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（2）屋面防水工程、有防水要求的卫生间、房间和外墙面的防渗漏：为5年。</w:t>
      </w:r>
    </w:p>
    <w:p w14:paraId="2DB2391A">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（3）供热与供冷系统（含空调）：为2个采暖期、供冷期。</w:t>
      </w:r>
    </w:p>
    <w:p w14:paraId="64D031E5">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（4）电气管线、给排水管道、设备安装和装修工程：为2年。</w:t>
      </w:r>
    </w:p>
    <w:p w14:paraId="1A15FE7A">
      <w:pPr>
        <w:pStyle w:val="4"/>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6、工程质量保修金：</w:t>
      </w:r>
    </w:p>
    <w:p w14:paraId="28EA0BA8">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本项目质量保证金为审计确认工程款的3%，竣工验收满2年后无质量问题，一次性无息付清。</w:t>
      </w:r>
    </w:p>
    <w:p w14:paraId="7BB6C887">
      <w:pPr>
        <w:pStyle w:val="4"/>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7、工期要求：</w:t>
      </w:r>
    </w:p>
    <w:p w14:paraId="213CE72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计划工期140日历天，工期延误及提前的具体约定以合同条款为准。</w:t>
      </w:r>
    </w:p>
    <w:p w14:paraId="3FCFEA4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8、检测费：</w:t>
      </w:r>
      <w:r>
        <w:rPr>
          <w:rFonts w:hint="eastAsia" w:ascii="宋体" w:hAnsi="宋体" w:eastAsia="宋体" w:cs="宋体"/>
          <w:color w:val="auto"/>
          <w:sz w:val="24"/>
          <w:szCs w:val="24"/>
          <w:highlight w:val="none"/>
          <w:lang w:val="en-US" w:eastAsia="zh-CN"/>
        </w:rPr>
        <w:t>发包人仅承担桩基检测费用，其余如钢材、防水等进场材料检测，混凝土试块检测，钢筋直螺纹连接检测，钢结构高强螺栓检测，钢构探伤检测等其他试验费用，均由承包人承担，发包人负责见证取样。</w:t>
      </w:r>
    </w:p>
    <w:p w14:paraId="5943AE5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9、承包人进场后，需现场查询地下给排水、暖气管道位置，完成相关管道与本项目连接部位的切断。</w:t>
      </w:r>
    </w:p>
    <w:p w14:paraId="58269BD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10、承包人负责对施工区域设置围挡进行围护。</w:t>
      </w:r>
    </w:p>
    <w:p w14:paraId="43869E7A">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11、本次改造涉及的培训厂房已通过安全鉴定，改动门窗户洞口时需提前做好安全加固（如增设过梁），待加固部位达到设计强度后方可开展后续施工。</w:t>
      </w:r>
    </w:p>
    <w:p w14:paraId="4B8BAC05">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12、窗户、幕墙的物理性能指标（如抗风压、水密性、气密性、保温、隔声）需符合设计图纸及现行规范要求。</w:t>
      </w:r>
    </w:p>
    <w:p w14:paraId="505BF2D5">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13、钢门、铝型材窗及幕墙的用料壁厚需符合现行国家标准要求（例如外窗铝型材主框壁厚不小于1.8mm）。</w:t>
      </w:r>
    </w:p>
    <w:p w14:paraId="0FA5489E">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14、本项目位于学校内部，场地面积有限，投标人须参加现场踏勘，充分了解现场道路及材料堆放条件；未参加现场踏勘的投标人，视为已充分了解现场所有情况，后续不得以“未预见现场情况”为由提出索赔。</w:t>
      </w:r>
    </w:p>
    <w:p w14:paraId="1DDA0D5E">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15、承包人进场后，须单独安装水、电计量表。</w:t>
      </w:r>
    </w:p>
    <w:p w14:paraId="039F505A">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16、钢结构防火涂料须提供型式检验报告，完工后需进行现场抽检；原有钢结构必须先完成除锈处理，经各方确认合格后方可开展涂料施工，否则会因涂料附着力不达标出现大面积脱落，产生高额返工成本。</w:t>
      </w:r>
    </w:p>
    <w:p w14:paraId="6B1D98D2">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17、工程资料按照《陕西省建筑工程资料管理规程》整编。</w:t>
      </w:r>
    </w:p>
    <w:p w14:paraId="4A983C69">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18、若培训车间内已有提前进场的设备，施工过程中须做好设备保护工作，并做好各方协调沟通。</w:t>
      </w:r>
    </w:p>
    <w:p w14:paraId="1B32A513">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19、如项目需要办理施工许可、消防验收承包人应积极配合。</w:t>
      </w:r>
    </w:p>
    <w:p w14:paraId="1A93694F">
      <w:pPr>
        <w:pStyle w:val="4"/>
        <w:spacing w:line="360" w:lineRule="auto"/>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20、部分设备前期进场集中堆放，占用了厂房部分场地；需待设备安放到位、部分厂房地面施工完成后，其余区域方可施工。</w:t>
      </w:r>
    </w:p>
    <w:p w14:paraId="3DE4A963">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材料进场前，须将产品合格证、检测报告或型式检验报告报送发包需经人员审核通过后方可进场施工；瓷砖、墙面涂料、门窗、卫浴、空调、电线、空开、灯具等材料，可从发包人推荐品牌中选择，也可选用同档次的其他品牌。</w:t>
      </w:r>
    </w:p>
    <w:p w14:paraId="7CE45C79">
      <w:pPr>
        <w:pStyle w:val="4"/>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发包人推荐品牌表</w:t>
      </w:r>
    </w:p>
    <w:tbl>
      <w:tblPr>
        <w:tblStyle w:val="2"/>
        <w:tblW w:w="796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4"/>
        <w:gridCol w:w="2919"/>
        <w:gridCol w:w="4227"/>
      </w:tblGrid>
      <w:tr w14:paraId="2AEBC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DE0CF">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2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2672">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材料名称</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CD01F">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推荐品牌</w:t>
            </w:r>
          </w:p>
        </w:tc>
      </w:tr>
      <w:tr w14:paraId="4FA38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DD421">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0A980">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外墙真石漆</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440DC">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三棵树、亚士漆、久诺、美涂士</w:t>
            </w:r>
          </w:p>
        </w:tc>
      </w:tr>
      <w:tr w14:paraId="120FA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B9750">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BE7DD">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地砖及墙砖</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6FB56">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蒙娜丽莎、诺贝尔、冠珠、新梦想、樵陶居</w:t>
            </w:r>
          </w:p>
        </w:tc>
      </w:tr>
      <w:tr w14:paraId="1FF22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D97E">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2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AD049">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钢制防盗门</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4E28">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步阳、新多、王力、盼盼、春天</w:t>
            </w:r>
          </w:p>
        </w:tc>
      </w:tr>
      <w:tr w14:paraId="1B42E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C1819">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2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40C7D">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铝合金门窗、幕墙</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0B0C">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西飞、凤铝、伟业、兴发、实德、</w:t>
            </w:r>
          </w:p>
        </w:tc>
      </w:tr>
      <w:tr w14:paraId="07471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79993">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2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3EE24">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各类洁具</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C645D">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安华、九牧、恒洁、箭牌</w:t>
            </w:r>
          </w:p>
        </w:tc>
      </w:tr>
      <w:tr w14:paraId="2CFA6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A5C42">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2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75495">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各类灯具</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90415">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三雄极光、欧普照明、雷士照明、佛山照明</w:t>
            </w:r>
          </w:p>
        </w:tc>
      </w:tr>
      <w:tr w14:paraId="6D70A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3393D">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2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5762">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电气设备一、二次主要元件</w:t>
            </w:r>
          </w:p>
        </w:tc>
        <w:tc>
          <w:tcPr>
            <w:tcW w:w="4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A5841">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常熟、良信、上海人民、上海嘉良、上海新驰</w:t>
            </w:r>
          </w:p>
        </w:tc>
      </w:tr>
      <w:tr w14:paraId="57F63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01275">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2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5566B">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线缆不分规格种类</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D761">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上上、远东、宝胜、津成、</w:t>
            </w:r>
          </w:p>
        </w:tc>
      </w:tr>
      <w:tr w14:paraId="014D4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457F">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2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81584">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空调</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1D266">
            <w:pPr>
              <w:pStyle w:val="4"/>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美的、格力、海尔、海信</w:t>
            </w:r>
          </w:p>
        </w:tc>
      </w:tr>
    </w:tbl>
    <w:p w14:paraId="2D1217B0">
      <w:pPr>
        <w:pStyle w:val="4"/>
        <w:spacing w:line="360" w:lineRule="auto"/>
        <w:jc w:val="both"/>
        <w:rPr>
          <w:rFonts w:hint="eastAsia" w:ascii="宋体" w:hAnsi="宋体" w:eastAsia="宋体" w:cs="宋体"/>
          <w:color w:val="auto"/>
          <w:sz w:val="24"/>
          <w:szCs w:val="24"/>
          <w:highlight w:val="none"/>
          <w:lang w:val="en-US" w:eastAsia="zh-CN"/>
        </w:rPr>
      </w:pPr>
    </w:p>
    <w:p w14:paraId="4DA9A76A">
      <w:pPr>
        <w:pStyle w:val="4"/>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22、计价依据：</w:t>
      </w:r>
    </w:p>
    <w:p w14:paraId="073DD4F9">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）陕西省工程建设标准《建设工程工程量清单计价计算标准》DB61/T5126-2025；</w:t>
      </w:r>
    </w:p>
    <w:p w14:paraId="45727E34">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（2）陕西省工程建设标准《房屋建筑与装饰工程工程量计算标准》DB61/T5129-2025；</w:t>
      </w:r>
    </w:p>
    <w:p w14:paraId="014BB4D3">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陕西省房屋建筑与装饰工程消耗量定额（2025）、《陕西省通用安装工程消耗量定额》（2025）、《陕西省市政工程消耗量定额》（2025）、《陕西省园林绿化工程量消耗量定额》（2025）、《陕西省建设工程施工机械台班费用定额》（2025）、《陕西省建设工程仪器仪表台班费用定额》（2025）；</w:t>
      </w:r>
    </w:p>
    <w:p w14:paraId="3271B65D">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（4）《陕西省房屋建筑与装饰工程基价表》（2025）、《陕西省通用安装工程基价表》（2025）、《陕西省市政工程基价表》（2025）、《陕西省园林绿化工程基价表》（2025）；</w:t>
      </w:r>
    </w:p>
    <w:p w14:paraId="7A8BCB06">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（5）《陕西省建设工程费用规则》（2025）；</w:t>
      </w:r>
    </w:p>
    <w:p w14:paraId="76A98EA1">
      <w:pPr>
        <w:pStyle w:val="4"/>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（6）增值税税率按照《关于调整建设工程计价依据增值税税率的通知》（陕建发2019〔45〕号）；</w:t>
      </w:r>
    </w:p>
    <w:p w14:paraId="6F997921">
      <w:r>
        <w:rPr>
          <w:rFonts w:hint="eastAsia" w:ascii="宋体" w:hAnsi="宋体" w:eastAsia="宋体" w:cs="宋体"/>
          <w:color w:val="auto"/>
          <w:sz w:val="24"/>
          <w:szCs w:val="24"/>
          <w:highlight w:val="none"/>
          <w:lang w:val="en-US" w:eastAsia="zh-CN"/>
        </w:rPr>
        <w:t>（7</w:t>
      </w:r>
      <w:bookmarkStart w:id="0" w:name="_GoBack"/>
      <w:bookmarkEnd w:id="0"/>
      <w:r>
        <w:rPr>
          <w:rFonts w:hint="eastAsia" w:ascii="宋体" w:hAnsi="宋体" w:eastAsia="宋体" w:cs="宋体"/>
          <w:color w:val="auto"/>
          <w:sz w:val="24"/>
          <w:szCs w:val="24"/>
          <w:highlight w:val="none"/>
          <w:lang w:val="en-US" w:eastAsia="zh-CN"/>
        </w:rPr>
        <w:t>）与建设工程项目有关的标准、规范、图集、技术资料；正常的施工工艺及方法。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D24620"/>
    <w:rsid w:val="232E5C5F"/>
    <w:rsid w:val="3AFF456E"/>
    <w:rsid w:val="4A804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698</Words>
  <Characters>709</Characters>
  <Lines>0</Lines>
  <Paragraphs>0</Paragraphs>
  <TotalTime>0</TotalTime>
  <ScaleCrop>false</ScaleCrop>
  <LinksUpToDate>false</LinksUpToDate>
  <CharactersWithSpaces>709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2026-11-04T03:29:00Z</dcterms:created>
  <dc:creator>asus</dc:creator>
  <cp:lastModifiedBy>123</cp:lastModifiedBy>
  <dcterms:modified xsi:type="dcterms:W3CDTF">2026-11-04T03:32:08Z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eyJoZGlkIjoiN2NhN2Y2MGE5MjIwMDhkM2Q0ZjI1MGYxOTkyNDVjMmYiLCJ1c2VySWQiOiIyNTY5NzM0MDQifQ==</vt:lpwstr>
  </property>
  <property fmtid="{D5CDD505-2E9C-101B-9397-08002B2CF9AE}" pid="4" name="ICV">
    <vt:lpwstr>53D9B765671D4B1B8D008EEDDED86A7C_12</vt:lpwstr>
  </property>
</Properties>
</file>