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版本号：GXCZ-C-26570163.1B120260708001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厅中心机房安全设备维保服务(二次)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GXCZ-C-26570163.1B1</w:t>
      </w:r>
      <w:r>
        <w:br/>
      </w:r>
      <w:r>
        <w:br/>
      </w:r>
      <w:r>
        <w:br/>
      </w:r>
    </w:p>
    <w:p>
      <w:pPr>
        <w:pStyle w:val="null3"/>
        <w:jc w:val="center"/>
        <w:outlineLvl w:val="2"/>
      </w:pPr>
      <w:r>
        <w:rPr>
          <w:rFonts w:ascii="仿宋_GB2312" w:hAnsi="仿宋_GB2312" w:cs="仿宋_GB2312" w:eastAsia="仿宋_GB2312"/>
          <w:sz w:val="28"/>
          <w:b/>
        </w:rPr>
        <w:t>陕西省交通运行监测中心</w:t>
      </w:r>
    </w:p>
    <w:p>
      <w:pPr>
        <w:pStyle w:val="null3"/>
        <w:jc w:val="center"/>
        <w:outlineLvl w:val="2"/>
      </w:pPr>
      <w:r>
        <w:rPr>
          <w:rFonts w:ascii="仿宋_GB2312" w:hAnsi="仿宋_GB2312" w:cs="仿宋_GB2312" w:eastAsia="仿宋_GB2312"/>
          <w:sz w:val="28"/>
          <w:b/>
        </w:rPr>
        <w:t>国信招标集团股份有限公司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国信招标集团股份有限公司</w:t>
      </w:r>
      <w:r>
        <w:rPr>
          <w:rFonts w:ascii="仿宋_GB2312" w:hAnsi="仿宋_GB2312" w:cs="仿宋_GB2312" w:eastAsia="仿宋_GB2312"/>
        </w:rPr>
        <w:t>（以下简称“代理机构”）受</w:t>
      </w:r>
      <w:r>
        <w:rPr>
          <w:rFonts w:ascii="仿宋_GB2312" w:hAnsi="仿宋_GB2312" w:cs="仿宋_GB2312" w:eastAsia="仿宋_GB2312"/>
        </w:rPr>
        <w:t>陕西省交通运行监测中心</w:t>
      </w:r>
      <w:r>
        <w:rPr>
          <w:rFonts w:ascii="仿宋_GB2312" w:hAnsi="仿宋_GB2312" w:cs="仿宋_GB2312" w:eastAsia="仿宋_GB2312"/>
        </w:rPr>
        <w:t>委托，拟对</w:t>
      </w:r>
      <w:r>
        <w:rPr>
          <w:rFonts w:ascii="仿宋_GB2312" w:hAnsi="仿宋_GB2312" w:cs="仿宋_GB2312" w:eastAsia="仿宋_GB2312"/>
        </w:rPr>
        <w:t>厅中心机房安全设备维保服务(二次)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GXCZ-C-26570163.1B1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厅中心机房安全设备维保服务(二次)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供应商需承担厅中心机房安全设备维保，包含1台动态应用防护系统，2台漏洞扫描系统（基线核查系统），2台入侵防御系统，1台WEB应用防护系统，1台堡垒机、1台防火墙。通过维保服务，使厅中心机房安全设备能够得到及时的维护和修复，避免由于设备故障导致的网络中断或数据丢失，能够保证网络安全设备的处理能力和效率始终处于高效稳定的状态。这有助于更快速、更准确地识别和处理安全威胁，提高整体网络的安全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采购包1（厅中心机房安全设备维保服务）：属于专门面向中小企业采购。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陕西省交通运行监测中心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陕西省西安市唐延路6号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朱科长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029-88869270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国信招标集团股份有限公司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陕西省西安市雁塔区南二环西段58号成长大厦20层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肖君玲、贾天佼、杜静、张海飞、刘洋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15637780510、13299087301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采购包1：371,800.00元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文件规定标准的85%计算，若单项目服务费不足5000元按5000元计取，按“服务类”向成交供应商收取代理服务费。 户名：国信招标集团股份有限公司陕西分公司 开户银行：招商银行西安城南支行 虚拟账号：1299104125105012600010738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陕西省交通运行监测中心</w:t>
      </w:r>
      <w:r>
        <w:rPr>
          <w:rFonts w:ascii="仿宋_GB2312" w:hAnsi="仿宋_GB2312" w:cs="仿宋_GB2312" w:eastAsia="仿宋_GB2312"/>
        </w:rPr>
        <w:t>和</w:t>
      </w:r>
      <w:r>
        <w:rPr>
          <w:rFonts w:ascii="仿宋_GB2312" w:hAnsi="仿宋_GB2312" w:cs="仿宋_GB2312" w:eastAsia="仿宋_GB2312"/>
        </w:rPr>
        <w:t>国信招标集团股份有限公司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陕西省交通运行监测中心</w:t>
      </w:r>
      <w:r>
        <w:rPr>
          <w:rFonts w:ascii="仿宋_GB2312" w:hAnsi="仿宋_GB2312" w:cs="仿宋_GB2312" w:eastAsia="仿宋_GB2312"/>
        </w:rPr>
        <w:t>负责解释。除上述磋商文件内容，其他内容由</w:t>
      </w:r>
      <w:r>
        <w:rPr>
          <w:rFonts w:ascii="仿宋_GB2312" w:hAnsi="仿宋_GB2312" w:cs="仿宋_GB2312" w:eastAsia="仿宋_GB2312"/>
        </w:rPr>
        <w:t>国信招标集团股份有限公司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陕西省交通运行监测中心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国信招标集团股份有限公司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采购人按采购文件规定或采购合同的约定进行验收。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国信招标集团股份有限公司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国信招标集团股份有限公司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国信招标集团股份有限公司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联系人：肖君玲、贾天佼、刘洋</w:t>
      </w:r>
    </w:p>
    <w:p>
      <w:pPr>
        <w:pStyle w:val="null3"/>
      </w:pPr>
      <w:r>
        <w:rPr>
          <w:rFonts w:ascii="仿宋_GB2312" w:hAnsi="仿宋_GB2312" w:cs="仿宋_GB2312" w:eastAsia="仿宋_GB2312"/>
        </w:rPr>
        <w:t>联系电话：15637780510</w:t>
      </w:r>
    </w:p>
    <w:p>
      <w:pPr>
        <w:pStyle w:val="null3"/>
      </w:pPr>
      <w:r>
        <w:rPr>
          <w:rFonts w:ascii="仿宋_GB2312" w:hAnsi="仿宋_GB2312" w:cs="仿宋_GB2312" w:eastAsia="仿宋_GB2312"/>
        </w:rPr>
        <w:t>地址：陕西省西安市南二环成长大厦20楼</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供应商需承担厅中心机房安全设备维保，包含1台动态应用防护系统，2台漏洞扫描系统（基线核查系统），2台入侵防御系统，1台WEB应用防护系统，1台堡垒机、1台防火墙。通过维保服务，使厅中心机房安全设备能够得到及时的维护和修复，避免由于设备故障导致的网络中断或数据丢失，能够保证网络安全设备的处理能力和效率始终处于高效稳定的状态。这有助于更快速、更准确地识别和处理安全威胁，提高整体网络的安全性。</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371,800.00</w:t>
      </w:r>
    </w:p>
    <w:p>
      <w:pPr>
        <w:pStyle w:val="null3"/>
      </w:pPr>
      <w:r>
        <w:rPr>
          <w:rFonts w:ascii="仿宋_GB2312" w:hAnsi="仿宋_GB2312" w:cs="仿宋_GB2312" w:eastAsia="仿宋_GB2312"/>
        </w:rPr>
        <w:t>采购包最高限价（元）: 371,800.00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厅中心机房安全设备维保服务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371,800.00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标的名称：厅中心机房安全设备维保服务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提供</w:t>
            </w:r>
            <w:r>
              <w:rPr>
                <w:rFonts w:ascii="仿宋_GB2312" w:hAnsi="仿宋_GB2312" w:cs="仿宋_GB2312" w:eastAsia="仿宋_GB2312"/>
                <w:sz w:val="21"/>
              </w:rPr>
              <w:t>7*24小时电话、邮件、远程支持服务，提供突发故障排除与突发事件的处理支持。</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1.设备信息</w:t>
            </w:r>
          </w:p>
          <w:tbl>
            <w:tblPr>
              <w:tblBorders>
                <w:top w:val="none" w:color="000000" w:sz="4"/>
                <w:left w:val="none" w:color="000000" w:sz="4"/>
                <w:bottom w:val="none" w:color="000000" w:sz="4"/>
                <w:right w:val="none" w:color="000000" w:sz="4"/>
                <w:insideH w:val="none"/>
                <w:insideV w:val="none"/>
              </w:tblBorders>
            </w:tblPr>
            <w:tblGrid>
              <w:gridCol w:w="269"/>
              <w:gridCol w:w="1305"/>
              <w:gridCol w:w="628"/>
              <w:gridCol w:w="982"/>
            </w:tblGrid>
            <w:tr>
              <w:tc>
                <w:tcPr>
                  <w:tcW w:type="dxa" w:w="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序号</w:t>
                  </w:r>
                </w:p>
              </w:tc>
              <w:tc>
                <w:tcPr>
                  <w:tcW w:type="dxa" w:w="13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设备名称</w:t>
                  </w:r>
                </w:p>
              </w:tc>
              <w:tc>
                <w:tcPr>
                  <w:tcW w:type="dxa" w:w="6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品牌</w:t>
                  </w:r>
                </w:p>
              </w:tc>
              <w:tc>
                <w:tcPr>
                  <w:tcW w:type="dxa" w:w="9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购买时间</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动态应用防护系统</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瑞数</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2019年11月28日</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2台漏洞扫描系统（基线核查系统）</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2019年11月28日</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2台入侵防御系统</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2019年11月28日</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WEB应用防护系统</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2019年11月28日</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堡垒机</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2019年11月28日</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天融信</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2019年</w:t>
                  </w:r>
                </w:p>
              </w:tc>
            </w:tr>
          </w:tbl>
          <w:p>
            <w:pPr>
              <w:pStyle w:val="null3"/>
            </w:pPr>
            <w:r>
              <w:rPr>
                <w:rFonts w:ascii="仿宋_GB2312" w:hAnsi="仿宋_GB2312" w:cs="仿宋_GB2312" w:eastAsia="仿宋_GB2312"/>
                <w:sz w:val="21"/>
              </w:rPr>
              <w:t>2.设备升级续保内容</w:t>
            </w:r>
          </w:p>
          <w:p>
            <w:pPr>
              <w:pStyle w:val="null3"/>
            </w:pPr>
            <w:r>
              <w:rPr>
                <w:rFonts w:ascii="仿宋_GB2312" w:hAnsi="仿宋_GB2312" w:cs="仿宋_GB2312" w:eastAsia="仿宋_GB2312"/>
                <w:sz w:val="21"/>
              </w:rPr>
              <w:t>本次设备涉及维保内容见下表：</w:t>
            </w:r>
          </w:p>
          <w:tbl>
            <w:tblPr>
              <w:tblBorders>
                <w:top w:val="none" w:color="000000" w:sz="4"/>
                <w:left w:val="none" w:color="000000" w:sz="4"/>
                <w:bottom w:val="none" w:color="000000" w:sz="4"/>
                <w:right w:val="none" w:color="000000" w:sz="4"/>
                <w:insideH w:val="none"/>
                <w:insideV w:val="none"/>
              </w:tblBorders>
            </w:tblPr>
            <w:tblGrid>
              <w:gridCol w:w="269"/>
              <w:gridCol w:w="1298"/>
              <w:gridCol w:w="377"/>
              <w:gridCol w:w="1236"/>
            </w:tblGrid>
            <w:tr>
              <w:tc>
                <w:tcPr>
                  <w:tcW w:type="dxa" w:w="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序号</w:t>
                  </w:r>
                </w:p>
              </w:tc>
              <w:tc>
                <w:tcPr>
                  <w:tcW w:type="dxa" w:w="12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设备名称</w:t>
                  </w:r>
                </w:p>
              </w:tc>
              <w:tc>
                <w:tcPr>
                  <w:tcW w:type="dxa" w:w="3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品牌</w:t>
                  </w:r>
                </w:p>
              </w:tc>
              <w:tc>
                <w:tcPr>
                  <w:tcW w:type="dxa" w:w="1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升级内容</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动态应用防护系统</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瑞数</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日常维护等采购人要求事项</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2台漏洞扫描系统（基线核查系统）</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深信服产品质保、软件升级</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2台入侵防御系统</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深信服云智订阅软件、产品质保、软件升级</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WEB应用防护系统</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深信服云智订阅软件、产品质保、软件升级</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堡垒机</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深信服产品质保、软件升级</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防火墙</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天融信</w:t>
                  </w:r>
                </w:p>
              </w:tc>
              <w:tc>
                <w:tcPr>
                  <w:tcW w:type="dxa" w:w="1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应用识别特征库</w:t>
                  </w:r>
                  <w:r>
                    <w:rPr>
                      <w:rFonts w:ascii="仿宋_GB2312" w:hAnsi="仿宋_GB2312" w:cs="仿宋_GB2312" w:eastAsia="仿宋_GB2312"/>
                      <w:sz w:val="21"/>
                    </w:rPr>
                    <w:t>/IP地理信息库/URL分类库/专业版病毒库/入侵防御特征库/一年硬件质保</w:t>
                  </w:r>
                </w:p>
              </w:tc>
            </w:tr>
          </w:tbl>
          <w:p>
            <w:pPr>
              <w:pStyle w:val="null3"/>
            </w:pPr>
            <w:r>
              <w:rPr>
                <w:rFonts w:ascii="仿宋_GB2312" w:hAnsi="仿宋_GB2312" w:cs="仿宋_GB2312" w:eastAsia="仿宋_GB2312"/>
                <w:sz w:val="21"/>
              </w:rPr>
              <w:t>3.提供现场支持服务，当故障无法通过电话、远程等方式解决时，接到故障请求2小时内到达现场，并由专人负责。一级故障：故障诊断时间小于30分钟，业务恢复时间小于4小时，故障解决时间小于48小时。二级故障：故障诊断时间小于1小时，业务恢复时间小于12小时，故障解决时间小于48小时。三级故障：故障诊断时间小于12小时，故障解决时间小于120小时。在影响业务的情况下提供备机服务。在故障排除3天内提供对应的《故障报告》。</w:t>
            </w:r>
          </w:p>
          <w:tbl>
            <w:tblPr>
              <w:tblInd w:type="dxa" w:w="120"/>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等级</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定义</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故障案例</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一级故障</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指设备在运行中出现系统瘫痪或服务中断，导致设备的基本功能不能实现或全面退化的故障；其他造成业务中断</w:t>
                  </w:r>
                  <w:r>
                    <w:rPr>
                      <w:rFonts w:ascii="仿宋_GB2312" w:hAnsi="仿宋_GB2312" w:cs="仿宋_GB2312" w:eastAsia="仿宋_GB2312"/>
                      <w:sz w:val="21"/>
                    </w:rPr>
                    <w:t>1个小时以上或导致关键业务数据丢失的故障。</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主、备设备发生故障无法正常工作。</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二级故障</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指设备在运行中出现的直接影响业务、并导致系统性能或业务部分退化的故障；设备在运行中出现的故障具有潜在的系统瘫痪或服务中断的危险，并可能导致设备的基本功能不能实现或全面退化。</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冗余设备单侧故障、监控终端故障等；系统设备或操作系统故障，造成业务中断但不满</w:t>
                  </w:r>
                  <w:r>
                    <w:rPr>
                      <w:rFonts w:ascii="仿宋_GB2312" w:hAnsi="仿宋_GB2312" w:cs="仿宋_GB2312" w:eastAsia="仿宋_GB2312"/>
                      <w:sz w:val="21"/>
                    </w:rPr>
                    <w:t>1小时的，如系统复位等。</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三级故障</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指设备在运行中出现的，影响系统功能和性能，但关键业务不受影响的故障。</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冗余设备发生故障，不影响客户业务。</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提供定期的巡检、日常维护，包括设备参数的调整，系统运行参数优化等，及时发现并排除系统故障，保证系统运行在良好状态，确保上述软硬件设备安全稳定运行。</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要求服务过程中应采取科学、合理的运维手段，确保服务质量。</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提供现场技能培训，在系统维护过程及故障排查过程中进行现场技能培训，提高日常管理能力及应对突发问题的技能。</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提供重大节日和重大事件保障期间的驻厂服务。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（1）供应商需参加采购人组织的运维单位考核，按照《陕西省交通运行监测中心信息化系统运维服务考核办法》执行。（2）合同期满，运维项目必须通过采购人验收。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其他，合同签订后供应商必须提供相应发票给采购人，达到付款条件起10个工作日内，支付合同总金额的100.0%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1.按《中华人民共和国民法典》中的相关条款和本合同的约定执行。 2.未按合同或政府采购招投标文件要求提供产品、服务，或供应的产品、服务质量不能满足采购人技术要求，经书面告知在合理期限内整改但仍不予调整的，采购人有权终止合同，并有权对违约行为进行追究。 3.任何一方有其他违反本合同情形的，应赔偿守约方全部损失，该损失包括但不限于对守约方所造成的直接损失、可得利益损失、守约方支付给第三方的赔偿费用/违约金/罚款、调查取证费用/公证费、诉讼费用、律师费用以及因此而支付的其他合理费用。 4.采购人的违约责任：采购人因自身原因不按合同约定向供应商付款，每逾期一天，须按迟延付款额的0.01%向供应商支付延期付款的违约金。采购人不按照合同约定提供相关资料及其它协作事项的，应提前7日书面通知供应商，项目完成时间予以顺延。 5.供应商的违约责任：供应商未按照本合同约定保质保量提供产品或服务，经采购人催告后履行仍不符合合同约定的，采购人有权解除本合同，同时有权要求供应商按照合同价款的10%承担违约金。采购人维权支付的诉讼费、保全费、律师费等费用由供应商承担。 合同履行期限结束，供应商未能按期完成服务期限的内容，供应商应继续履行自身义务直至符合合同约定。同时从合同履行期限届满之日开始起算，每逾期一天按合同总金额的0.03%向采购人支付违约金。 若本项目经采购人验收不合格，采购人有权要求供应商在10日内整改完善，供应商必须予以整改完善。因此导致成果逾期提交的，履行期限不予顺延，每逾期一天，应按合同总金额的0.03%向采购人支付违约金；限期补充完善仍未达到采购人要求的，采购人有权单方解除合同，供应商除应承担上述逾期违约金外，还应赔偿因此给采购人造成的实际损失（例如：鉴定费、委托第三方为采购人提供完善项目所产生的费用、项目建设进度顺延给采购人造成的损失、诉讼费、律师费等），赔偿金额原则上不超过本合同总金额的30%，但采购人的实际损失超过合同总金额30%的，供应商应当承担补足责任。 甲乙双方任何一方违反保密义务的，违约方应向对方支付合同总金额10%的违约金，违约金不足以弥补对方损失的还应当承担补足责任。 供应商没有采购人的书面同意转让合同或将项目的全部或部分分包或转包出去，采购人可向供应商发出书面违约通知书，提出终止部分或全部合同。若采购人部分终止合同的，供应商应继续履行合同其他义务，并按照合同金额的10%支付违约金。若采购人全部终止合同的，供应商应按合同总金额30%的支付违约金。同时采购人的实际损失超过合同总金额30%的，供应商应当承担补足责任。 供应商违反合同约定的其它责任、义务视为违约，需向采购人支付合同总价款的30%违约金。同时采购人的实际损失超过合同总金额30%的，供应商应当承担补足责任。 合同争议的解决：合同执行中发生争议的，当事人双方应协商解决，协商达不成一致时，可向采购人所在地人民法院提请诉讼。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其他资格证明文件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其他资格证明文件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整体专门面向中小企业采购。承接服务供应商应为中小企业，即提供服务的人员为中小企业依照《中华人民共和国劳动合同法》订立劳动合同的从业人员。中小企业须符合本项目采购标的对应行业（软件和信息技术服务业）的政策划分标准。监狱企业、残疾人福利单位视同小型、微型企业。 注：中小企业应填写的《中小企业声明函》（见响应文件格式）可为判定标准；残疾人福利性单位填写的《残疾人福利性单位声明函》（见响应文件格式）可为判定标准；监狱企业须供应商提供由省级以上监狱管理局、戒毒管理局（含新疆生产建设兵团）出具的属于监狱企业的证明文件，否则不予认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审过程中，磋商小组认为供应商响应报价明显低于其他实质性响应的供应商报价，有可能影响产品质量或者不能诚信履约的，磋商小组应当要求其在合理的时间内在项目电子化交易系统中上传说明材料，必要时提交相关证明材料。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首轮报价表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政府采购供应商拒绝政府采购领域商业贿赂承诺书 首轮报价表 分项报价表 响应承诺书 中小企业声明函 残疾人福利性单位声明函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（1）响应报价符合唯一性要求； （2）响应报价表填写符合要求；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首轮报价表 分项报价表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符合磋商文件第三章“3.3商务要求”。</w:t>
            </w:r>
          </w:p>
        </w:tc>
        <w:tc>
          <w:tcPr>
            <w:tcW w:type="dxa" w:w="1661"/>
          </w:tcPr>
          <w:p>
            <w:pPr>
              <w:pStyle w:val="null3"/>
            </w:pPr>
            <w:r>
              <w:rPr>
                <w:rFonts w:ascii="仿宋_GB2312" w:hAnsi="仿宋_GB2312" w:cs="仿宋_GB2312" w:eastAsia="仿宋_GB2312"/>
              </w:rPr>
              <w:t>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供应商应满足磋商文件的实质性要求，也不得存在磋商文件规定的无效情形。</w:t>
            </w:r>
          </w:p>
        </w:tc>
        <w:tc>
          <w:tcPr>
            <w:tcW w:type="dxa" w:w="1661"/>
          </w:tcPr>
          <w:p>
            <w:pPr>
              <w:pStyle w:val="null3"/>
            </w:pPr>
            <w:r>
              <w:rPr>
                <w:rFonts w:ascii="仿宋_GB2312" w:hAnsi="仿宋_GB2312" w:cs="仿宋_GB2312" w:eastAsia="仿宋_GB2312"/>
              </w:rPr>
              <w:t>首轮报价表 分项报价表 响应承诺书 中小企业声明函 供应商业绩一览表 响应文件封面 其他资格证明文件 政府采购供应商拒绝政府采购领域商业贿赂承诺书 残疾人福利性单位声明函 服务方案 商务要求应答表 响应函 监狱企业的证明文件 人员明细表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供应商根据项目特点提供整体服务方案。内容包括：1、日常维护保养、硬件（含系统软件）故障的分析排除；2、维护重点环节分析；3、设备质保、备件管理和更换；4、系统的优化建议、调整、配置。 满分12分，每有一项缺项扣 3 分，每有一项内容中存在缺陷，扣 1 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机房安全设备管理方案</w:t>
            </w:r>
          </w:p>
        </w:tc>
        <w:tc>
          <w:tcPr>
            <w:tcW w:type="dxa" w:w="2492"/>
          </w:tcPr>
          <w:p>
            <w:pPr>
              <w:pStyle w:val="null3"/>
            </w:pPr>
            <w:r>
              <w:rPr>
                <w:rFonts w:ascii="仿宋_GB2312" w:hAnsi="仿宋_GB2312" w:cs="仿宋_GB2312" w:eastAsia="仿宋_GB2312"/>
              </w:rPr>
              <w:t>供应商根据本项目提供详细的机房安全设备管理方案。内容包括：1.现状分析；2.改善办法。 满分4分，每有一项缺项扣 2 分，每有一项内容中存在缺陷，扣 1 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计划、进度及保障措施</w:t>
            </w:r>
          </w:p>
        </w:tc>
        <w:tc>
          <w:tcPr>
            <w:tcW w:type="dxa" w:w="2492"/>
          </w:tcPr>
          <w:p>
            <w:pPr>
              <w:pStyle w:val="null3"/>
            </w:pPr>
            <w:r>
              <w:rPr>
                <w:rFonts w:ascii="仿宋_GB2312" w:hAnsi="仿宋_GB2312" w:cs="仿宋_GB2312" w:eastAsia="仿宋_GB2312"/>
              </w:rPr>
              <w:t>供应商根据本项目提供计划、进度及保障措施方案。内容包括：1、项目组织计划；2、进度整体安排；3、关键工作节点；4、管理制度保障；5、人员安排。 满分10分，每有一项缺项扣 2 分，每有一项内容中存在缺陷，扣 1 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供应商根据本项目提供质量保证方案。方案包括：1、服务质量标准及服务质量承诺；2、设备备件保障措施。 满分4分，每有一项缺项扣 2分，每有一项内容中存在缺陷，扣 1 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供应商根据本项目提供突发情况应急方案。包括：1、日常风险分析；2、突发事件处理措施。 满分4分，每有一项缺项扣 2 分，每有一项内容中存在缺陷，扣 1 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供应商根据本项目提供培训方案。内容包括：1、培训方式及课题内容；2、培训时间计划安排；3、培训目标。满分6分，每有一项缺项扣 2 分，每有一项内容中存在缺陷，扣 1 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维保服务能力</w:t>
            </w:r>
          </w:p>
        </w:tc>
        <w:tc>
          <w:tcPr>
            <w:tcW w:type="dxa" w:w="2492"/>
          </w:tcPr>
          <w:p>
            <w:pPr>
              <w:pStyle w:val="null3"/>
            </w:pPr>
            <w:r>
              <w:rPr>
                <w:rFonts w:ascii="仿宋_GB2312" w:hAnsi="仿宋_GB2312" w:cs="仿宋_GB2312" w:eastAsia="仿宋_GB2312"/>
              </w:rPr>
              <w:t>针对服务要求中的六项设备，供应商提供具有对应设备的服务能力的相关证明材料；每提供1项，得2分，满分12分；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团队人员中具备信息系统项目管理师证书或CISP证书，每提供1份得2分，满分6分； 注：提供人员明细表，身份证及证书扫描件。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人员明细表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从2023年1月1日起至磋商响应文件递交截止时间（以合同签订时间为准）的类似项目业绩，每提供一份得2分，最多得12分。 注：以磋商响应文件中所附的合同复印件为准。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首轮报价表</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满足竞争性磋商文件要求且最低的磋商报价为评审基准价，其价格分为满分。 各供应商的报价得分按下列公式计算： 报价得分=（基准价/磋商报价）×30 磋商报价不完整的，不进入磋商基准价的计算，本项得0分。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首轮报价表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详见附件：首轮报价表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详见附件：供应商业绩一览表</w:t>
      </w:r>
    </w:p>
    <w:p>
      <w:pPr>
        <w:pStyle w:val="null3"/>
        <w:ind w:firstLine="960"/>
      </w:pPr>
      <w:r>
        <w:rPr>
          <w:rFonts w:ascii="仿宋_GB2312" w:hAnsi="仿宋_GB2312" w:cs="仿宋_GB2312" w:eastAsia="仿宋_GB2312"/>
        </w:rPr>
        <w:t>详见附件：其他资格证明文件</w:t>
      </w:r>
    </w:p>
    <w:p>
      <w:pPr>
        <w:pStyle w:val="null3"/>
        <w:ind w:firstLine="960"/>
      </w:pPr>
      <w:r>
        <w:rPr>
          <w:rFonts w:ascii="仿宋_GB2312" w:hAnsi="仿宋_GB2312" w:cs="仿宋_GB2312" w:eastAsia="仿宋_GB2312"/>
        </w:rPr>
        <w:t>详见附件：商务要求应答表</w:t>
      </w:r>
    </w:p>
    <w:p>
      <w:pPr>
        <w:pStyle w:val="null3"/>
        <w:ind w:firstLine="960"/>
      </w:pPr>
      <w:r>
        <w:rPr>
          <w:rFonts w:ascii="仿宋_GB2312" w:hAnsi="仿宋_GB2312" w:cs="仿宋_GB2312" w:eastAsia="仿宋_GB2312"/>
        </w:rPr>
        <w:t>详见附件：响应承诺书</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详见附件：人员明细表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