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版本号：SGLQ-202604320260818001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SGLQ-2026043</w:t>
      </w:r>
      <w:r>
        <w:br/>
      </w:r>
      <w:r>
        <w:br/>
      </w:r>
      <w:r>
        <w:br/>
      </w:r>
    </w:p>
    <w:p>
      <w:pPr>
        <w:pStyle w:val="null3"/>
        <w:jc w:val="center"/>
        <w:outlineLvl w:val="2"/>
      </w:pPr>
      <w:r>
        <w:rPr>
          <w:rFonts w:ascii="仿宋_GB2312" w:hAnsi="仿宋_GB2312" w:cs="仿宋_GB2312" w:eastAsia="仿宋_GB2312"/>
          <w:sz w:val="28"/>
          <w:b/>
        </w:rPr>
        <w:t>西安市长安区子午街道初级中学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西安市长安区子午街道初级中学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西安市长安区子午街道初级中学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西安市长安区子午街道子午村甲字8号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西安市长安区子午街道初级中学经办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15029808900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采购包1：374,597.27元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西安市长安区子午街道初级中学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西安市长安区子午街道初级中学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西安市长安区子午街道初级中学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374,597.27</w:t>
      </w:r>
    </w:p>
    <w:p>
      <w:pPr>
        <w:pStyle w:val="null3"/>
      </w:pPr>
      <w:r>
        <w:rPr>
          <w:rFonts w:ascii="仿宋_GB2312" w:hAnsi="仿宋_GB2312" w:cs="仿宋_GB2312" w:eastAsia="仿宋_GB2312"/>
        </w:rPr>
        <w:t>采购包最高限价（元）: 374,597.27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374,597.27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西安市长安区子午街道初级中学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3.蔬菜类必须保证新鲜无污染，农药残留达到GB2763-2012标准规定。</w:t>
            </w:r>
          </w:p>
          <w:p>
            <w:pPr>
              <w:pStyle w:val="null3"/>
              <w:ind w:firstLine="480"/>
              <w:jc w:val="both"/>
            </w:pPr>
            <w:r>
              <w:rPr>
                <w:rFonts w:ascii="仿宋_GB2312" w:hAnsi="仿宋_GB2312" w:cs="仿宋_GB2312" w:eastAsia="仿宋_GB2312"/>
                <w:sz w:val="21"/>
              </w:rPr>
              <w:t>4.调味品、干杂等必须具有“SC”食品质量认证标志。</w:t>
            </w:r>
          </w:p>
          <w:p>
            <w:pPr>
              <w:pStyle w:val="null3"/>
              <w:ind w:firstLine="480"/>
              <w:jc w:val="both"/>
            </w:pPr>
            <w:r>
              <w:rPr>
                <w:rFonts w:ascii="仿宋_GB2312" w:hAnsi="仿宋_GB2312" w:cs="仿宋_GB2312" w:eastAsia="仿宋_GB2312"/>
                <w:sz w:val="21"/>
              </w:rPr>
              <w:t>5.豆制品、半成品必须具有“SC”食品质量安全认证。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合同时间履行期限1年（约9个月）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西安市长安区子午街道初级中学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 ，达到付款条件起15个工作日内，支付合同总金额的11.12%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其他资料.docx 供应商应提交的相关资格证明材料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