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版本号：LWQZFCG2025-023.1B320260615001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执法执勤车辆采购项目(四次)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LWQZFCG2025-023.1B3</w:t>
      </w:r>
      <w:r>
        <w:br/>
      </w:r>
      <w:r>
        <w:br/>
      </w:r>
      <w:r>
        <w:br/>
      </w:r>
    </w:p>
    <w:p>
      <w:pPr>
        <w:pStyle w:val="null3"/>
        <w:jc w:val="center"/>
        <w:outlineLvl w:val="2"/>
      </w:pPr>
      <w:r>
        <w:rPr>
          <w:rFonts w:ascii="仿宋_GB2312" w:hAnsi="仿宋_GB2312" w:cs="仿宋_GB2312" w:eastAsia="仿宋_GB2312"/>
          <w:sz w:val="28"/>
          <w:b/>
        </w:rPr>
        <w:t>渭南市临渭区市场监督管理局</w:t>
      </w:r>
    </w:p>
    <w:p>
      <w:pPr>
        <w:pStyle w:val="null3"/>
        <w:jc w:val="center"/>
        <w:outlineLvl w:val="2"/>
      </w:pPr>
      <w:r>
        <w:rPr>
          <w:rFonts w:ascii="仿宋_GB2312" w:hAnsi="仿宋_GB2312" w:cs="仿宋_GB2312" w:eastAsia="仿宋_GB2312"/>
          <w:sz w:val="28"/>
          <w:b/>
        </w:rPr>
        <w:t>临渭区政府采购中心</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临渭区政府采购中心</w:t>
      </w:r>
      <w:r>
        <w:rPr>
          <w:rFonts w:ascii="仿宋_GB2312" w:hAnsi="仿宋_GB2312" w:cs="仿宋_GB2312" w:eastAsia="仿宋_GB2312"/>
        </w:rPr>
        <w:t>（以下简称“代理机构”）受</w:t>
      </w:r>
      <w:r>
        <w:rPr>
          <w:rFonts w:ascii="仿宋_GB2312" w:hAnsi="仿宋_GB2312" w:cs="仿宋_GB2312" w:eastAsia="仿宋_GB2312"/>
        </w:rPr>
        <w:t>渭南市临渭区市场监督管理局</w:t>
      </w:r>
      <w:r>
        <w:rPr>
          <w:rFonts w:ascii="仿宋_GB2312" w:hAnsi="仿宋_GB2312" w:cs="仿宋_GB2312" w:eastAsia="仿宋_GB2312"/>
        </w:rPr>
        <w:t>委托，拟对</w:t>
      </w:r>
      <w:r>
        <w:rPr>
          <w:rFonts w:ascii="仿宋_GB2312" w:hAnsi="仿宋_GB2312" w:cs="仿宋_GB2312" w:eastAsia="仿宋_GB2312"/>
        </w:rPr>
        <w:t>执法执勤车辆采购项目(四次)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LWQZFCG2025-023.1B3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执法执勤车辆采购项目(四次)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用于市场监督日常执法，补充车辆缺口，保障执法工作高效、安全开展。</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1、营业执照等证明文件：供应商须提供合法注册的法人或其他组织的营业执照等证明文件</w:t>
      </w:r>
    </w:p>
    <w:p>
      <w:pPr>
        <w:pStyle w:val="null3"/>
      </w:pPr>
      <w:r>
        <w:rPr>
          <w:rFonts w:ascii="仿宋_GB2312" w:hAnsi="仿宋_GB2312" w:cs="仿宋_GB2312" w:eastAsia="仿宋_GB2312"/>
        </w:rPr>
        <w:t>2、法定代表人授权委托书：供应商应授权合法的人员参加投标全过程，其中法定代表人直接参加投标的，须提供法定代表人身份证明书。法定代表人授权代表参加投标的，须提供法定代表人授权书。</w:t>
      </w:r>
    </w:p>
    <w:p>
      <w:pPr>
        <w:pStyle w:val="null3"/>
      </w:pPr>
      <w:r>
        <w:rPr>
          <w:rFonts w:ascii="仿宋_GB2312" w:hAnsi="仿宋_GB2312" w:cs="仿宋_GB2312" w:eastAsia="仿宋_GB2312"/>
        </w:rPr>
        <w:t>3、税收及社保缴纳证明：提供响应文件递交截止时间前一年内任意一个月的税收缴费凭据；依法免税的应提供相关文件证明；提供响应文件递交截止时间前一年内任意一个月的社保缴费凭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4、财务审计报告或资信证明：提供具有财务审计资质单位出具的2024年度财务报告（成立时间至开标时间不足一年的可提供成立后任意时段的资产负债表）或开标前六个月内其基本账户银行出具的资信证明或政府采购信用担保机构出具的担保函。（以上三种形式的资料提供任意一种即可）</w:t>
      </w:r>
    </w:p>
    <w:p>
      <w:pPr>
        <w:pStyle w:val="null3"/>
      </w:pPr>
      <w:r>
        <w:rPr>
          <w:rFonts w:ascii="仿宋_GB2312" w:hAnsi="仿宋_GB2312" w:cs="仿宋_GB2312" w:eastAsia="仿宋_GB2312"/>
        </w:rPr>
        <w:t>5、合同书面声明及承诺：提供具有履行合同所必需的设备和专业技术能力的承诺。</w:t>
      </w:r>
    </w:p>
    <w:p>
      <w:pPr>
        <w:pStyle w:val="null3"/>
      </w:pPr>
      <w:r>
        <w:rPr>
          <w:rFonts w:ascii="仿宋_GB2312" w:hAnsi="仿宋_GB2312" w:cs="仿宋_GB2312" w:eastAsia="仿宋_GB2312"/>
        </w:rPr>
        <w:t>6、参加政府采购活动前三年内在经营活动中没有重大违法记录的书面声明：提供参加政府采购活动前3年内在经营活动中没有重大违法记录的书面声明。</w:t>
      </w:r>
    </w:p>
    <w:p>
      <w:pPr>
        <w:pStyle w:val="null3"/>
      </w:pPr>
      <w:r>
        <w:rPr>
          <w:rFonts w:ascii="仿宋_GB2312" w:hAnsi="仿宋_GB2312" w:cs="仿宋_GB2312" w:eastAsia="仿宋_GB2312"/>
        </w:rPr>
        <w:t>7、信用信息：提供《供应商信用记录书面声明函》。经查，投标人未被列入“信用中国”网站记录的“失信被执行人”或“重大税收违法失信主体”名单；不处于“中国政府采购网”记录的“政府采购严重违法失信行为记录名单”中禁止参加政府采购活动期间 ； 供应商需在项目电子化交易系统中按要求上传《供应商信用记录书面声明函》并进行电子签章。</w:t>
      </w:r>
    </w:p>
    <w:p>
      <w:pPr>
        <w:pStyle w:val="null3"/>
      </w:pPr>
      <w:r>
        <w:rPr>
          <w:rFonts w:ascii="仿宋_GB2312" w:hAnsi="仿宋_GB2312" w:cs="仿宋_GB2312" w:eastAsia="仿宋_GB2312"/>
        </w:rPr>
        <w:t>8、无控股、管理关系承诺：单位负责人为同一人或者存在直接控股、管理关系的不同供应商，不得参加同一合同项下的政府采购活动。</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渭南市临渭区市场监督管理局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渭南市临渭区杜化路中段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渭南市临渭区市场监督管理局经办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0913-2062191</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临渭区政府采购中心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渭南市临渭区乐天大街123号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临渭区政府采购中心</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0913-2130883</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渭南市临渭区政府采购管理股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吕洁</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0913-2130873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采购包1：472,000.00元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本项目不收取代理服务费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渭南市临渭区市场监督管理局</w:t>
      </w:r>
      <w:r>
        <w:rPr>
          <w:rFonts w:ascii="仿宋_GB2312" w:hAnsi="仿宋_GB2312" w:cs="仿宋_GB2312" w:eastAsia="仿宋_GB2312"/>
        </w:rPr>
        <w:t>和</w:t>
      </w:r>
      <w:r>
        <w:rPr>
          <w:rFonts w:ascii="仿宋_GB2312" w:hAnsi="仿宋_GB2312" w:cs="仿宋_GB2312" w:eastAsia="仿宋_GB2312"/>
        </w:rPr>
        <w:t>临渭区政府采购中心</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渭南市临渭区市场监督管理局</w:t>
      </w:r>
      <w:r>
        <w:rPr>
          <w:rFonts w:ascii="仿宋_GB2312" w:hAnsi="仿宋_GB2312" w:cs="仿宋_GB2312" w:eastAsia="仿宋_GB2312"/>
        </w:rPr>
        <w:t>负责解释。除上述招标文件内容，其他内容由</w:t>
      </w:r>
      <w:r>
        <w:rPr>
          <w:rFonts w:ascii="仿宋_GB2312" w:hAnsi="仿宋_GB2312" w:cs="仿宋_GB2312" w:eastAsia="仿宋_GB2312"/>
        </w:rPr>
        <w:t>临渭区政府采购中心</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渭南市临渭区市场监督管理局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临渭区政府采购中心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车辆及其备附件到达采购人指定地点后，采购人根据合同要求，在中标供应商和采购人相关负责人双方同时在场的情况下，进行外观验收，确认产地、规格、型号和数量、车体喷涂及上牌（车身规范粘贴“市场监督管理”制式标识，车体喷涂、字体、尺寸、位置等符合《市场监督管理执法装备配备指南》，粘贴平整、不易脱落）。 必要时采购人可委托具有相关资质的第三方检测机构/技术专家对车辆进行验收，需要国家法定检验部门进行检验或验收的由中标供应商负责联系）。验收合格后，填写政府采购项目验收单作为对车辆的最终认可。</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渭南市临渭区市场监督管理局</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临渭区政府采购中心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临渭区政府采购中心</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联系人：临渭区政府采购中心</w:t>
      </w:r>
    </w:p>
    <w:p>
      <w:pPr>
        <w:pStyle w:val="null3"/>
      </w:pPr>
      <w:r>
        <w:rPr>
          <w:rFonts w:ascii="仿宋_GB2312" w:hAnsi="仿宋_GB2312" w:cs="仿宋_GB2312" w:eastAsia="仿宋_GB2312"/>
        </w:rPr>
        <w:t>联系电话：0913-2130883</w:t>
      </w:r>
    </w:p>
    <w:p>
      <w:pPr>
        <w:pStyle w:val="null3"/>
      </w:pPr>
      <w:r>
        <w:rPr>
          <w:rFonts w:ascii="仿宋_GB2312" w:hAnsi="仿宋_GB2312" w:cs="仿宋_GB2312" w:eastAsia="仿宋_GB2312"/>
        </w:rPr>
        <w:t>地址：渭南市临渭区乐天大街123号</w:t>
      </w:r>
    </w:p>
    <w:p>
      <w:pPr>
        <w:pStyle w:val="null3"/>
      </w:pPr>
      <w:r>
        <w:rPr>
          <w:rFonts w:ascii="仿宋_GB2312" w:hAnsi="仿宋_GB2312" w:cs="仿宋_GB2312" w:eastAsia="仿宋_GB2312"/>
        </w:rPr>
        <w:t>邮编：714000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用于市场监督日常执法，补充车辆缺口，保障执法工作高效、安全开展。</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472,000.00</w:t>
      </w:r>
    </w:p>
    <w:p>
      <w:pPr>
        <w:pStyle w:val="null3"/>
      </w:pPr>
      <w:r>
        <w:rPr>
          <w:rFonts w:ascii="仿宋_GB2312" w:hAnsi="仿宋_GB2312" w:cs="仿宋_GB2312" w:eastAsia="仿宋_GB2312"/>
        </w:rPr>
        <w:t>采购包最高限价（元）: 472,000.00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执法执勤车辆采购</w:t>
            </w:r>
          </w:p>
        </w:tc>
        <w:tc>
          <w:tcPr>
            <w:tcW w:type="dxa" w:w="755"/>
          </w:tcPr>
          <w:p>
            <w:pPr>
              <w:pStyle w:val="null3"/>
              <w:jc w:val="right"/>
            </w:pPr>
            <w:r>
              <w:rPr>
                <w:rFonts w:ascii="仿宋_GB2312" w:hAnsi="仿宋_GB2312" w:cs="仿宋_GB2312" w:eastAsia="仿宋_GB2312"/>
              </w:rPr>
              <w:t>4.00</w:t>
            </w:r>
          </w:p>
        </w:tc>
        <w:tc>
          <w:tcPr>
            <w:tcW w:type="dxa" w:w="755"/>
          </w:tcPr>
          <w:p>
            <w:pPr>
              <w:pStyle w:val="null3"/>
              <w:jc w:val="right"/>
            </w:pPr>
            <w:r>
              <w:rPr>
                <w:rFonts w:ascii="仿宋_GB2312" w:hAnsi="仿宋_GB2312" w:cs="仿宋_GB2312" w:eastAsia="仿宋_GB2312"/>
              </w:rPr>
              <w:t>472,000.00</w:t>
            </w:r>
          </w:p>
        </w:tc>
        <w:tc>
          <w:tcPr>
            <w:tcW w:type="dxa" w:w="755"/>
          </w:tcPr>
          <w:p>
            <w:pPr>
              <w:pStyle w:val="null3"/>
            </w:pPr>
            <w:r>
              <w:rPr>
                <w:rFonts w:ascii="仿宋_GB2312" w:hAnsi="仿宋_GB2312" w:cs="仿宋_GB2312" w:eastAsia="仿宋_GB2312"/>
              </w:rPr>
              <w:t>辆</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标的名称：执法执勤车辆采购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rPr>
              <w:t>标的名称：执法执勤车辆采购项目</w:t>
            </w:r>
          </w:p>
          <w:tbl>
            <w:tblPr>
              <w:tblBorders>
                <w:top w:val="single"/>
                <w:left w:val="single"/>
                <w:bottom w:val="single"/>
                <w:right w:val="single"/>
                <w:insideH w:val="single"/>
                <w:insideV w:val="single"/>
              </w:tblBorders>
            </w:tblPr>
            <w:tblGrid>
              <w:gridCol w:w="274"/>
              <w:gridCol w:w="1078"/>
              <w:gridCol w:w="1199"/>
            </w:tblGrid>
            <w:tr>
              <w:tc>
                <w:tcPr>
                  <w:tcW w:type="dxa" w:w="27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序号</w:t>
                  </w:r>
                </w:p>
              </w:tc>
              <w:tc>
                <w:tcPr>
                  <w:tcW w:type="dxa" w:w="107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名称</w:t>
                  </w:r>
                </w:p>
              </w:tc>
              <w:tc>
                <w:tcPr>
                  <w:tcW w:type="dxa" w:w="119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技术参数及配置</w:t>
                  </w:r>
                </w:p>
              </w:tc>
            </w:tr>
            <w:tr>
              <w:tc>
                <w:tcPr>
                  <w:tcW w:type="dxa" w:w="27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107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▲车型与能源类型</w:t>
                  </w:r>
                </w:p>
              </w:tc>
              <w:tc>
                <w:tcPr>
                  <w:tcW w:type="dxa" w:w="119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国产轿车；插电式混合动力</w:t>
                  </w:r>
                </w:p>
              </w:tc>
            </w:tr>
            <w:tr>
              <w:tc>
                <w:tcPr>
                  <w:tcW w:type="dxa" w:w="27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c>
                <w:tcPr>
                  <w:tcW w:type="dxa" w:w="107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排量</w:t>
                  </w:r>
                </w:p>
              </w:tc>
              <w:tc>
                <w:tcPr>
                  <w:tcW w:type="dxa" w:w="119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≤1.5（含1.5T）L</w:t>
                  </w:r>
                </w:p>
              </w:tc>
            </w:tr>
            <w:tr>
              <w:tc>
                <w:tcPr>
                  <w:tcW w:type="dxa" w:w="27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w:t>
                  </w:r>
                </w:p>
              </w:tc>
              <w:tc>
                <w:tcPr>
                  <w:tcW w:type="dxa" w:w="107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WLTC综合油耗（L/100KM）</w:t>
                  </w:r>
                </w:p>
              </w:tc>
              <w:tc>
                <w:tcPr>
                  <w:tcW w:type="dxa" w:w="119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≤3L</w:t>
                  </w:r>
                </w:p>
              </w:tc>
            </w:tr>
            <w:tr>
              <w:tc>
                <w:tcPr>
                  <w:tcW w:type="dxa" w:w="27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w:t>
                  </w:r>
                </w:p>
              </w:tc>
              <w:tc>
                <w:tcPr>
                  <w:tcW w:type="dxa" w:w="107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CLTC续航里程</w:t>
                  </w:r>
                </w:p>
              </w:tc>
              <w:tc>
                <w:tcPr>
                  <w:tcW w:type="dxa" w:w="119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≥100km</w:t>
                  </w:r>
                </w:p>
              </w:tc>
            </w:tr>
            <w:tr>
              <w:tc>
                <w:tcPr>
                  <w:tcW w:type="dxa" w:w="27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w:t>
                  </w:r>
                </w:p>
              </w:tc>
              <w:tc>
                <w:tcPr>
                  <w:tcW w:type="dxa" w:w="107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▲排放标准</w:t>
                  </w:r>
                </w:p>
              </w:tc>
              <w:tc>
                <w:tcPr>
                  <w:tcW w:type="dxa" w:w="119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国六标准</w:t>
                  </w:r>
                </w:p>
              </w:tc>
            </w:tr>
            <w:tr>
              <w:tc>
                <w:tcPr>
                  <w:tcW w:type="dxa" w:w="27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w:t>
                  </w:r>
                </w:p>
              </w:tc>
              <w:tc>
                <w:tcPr>
                  <w:tcW w:type="dxa" w:w="107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★车身结构</w:t>
                  </w:r>
                </w:p>
              </w:tc>
              <w:tc>
                <w:tcPr>
                  <w:tcW w:type="dxa" w:w="119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4门5座三厢车</w:t>
                  </w:r>
                </w:p>
              </w:tc>
            </w:tr>
            <w:tr>
              <w:tc>
                <w:tcPr>
                  <w:tcW w:type="dxa" w:w="27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7</w:t>
                  </w:r>
                </w:p>
              </w:tc>
              <w:tc>
                <w:tcPr>
                  <w:tcW w:type="dxa" w:w="107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变速箱</w:t>
                  </w:r>
                </w:p>
              </w:tc>
              <w:tc>
                <w:tcPr>
                  <w:tcW w:type="dxa" w:w="119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自动挡</w:t>
                  </w:r>
                </w:p>
              </w:tc>
            </w:tr>
            <w:tr>
              <w:tc>
                <w:tcPr>
                  <w:tcW w:type="dxa" w:w="27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8</w:t>
                  </w:r>
                </w:p>
              </w:tc>
              <w:tc>
                <w:tcPr>
                  <w:tcW w:type="dxa" w:w="107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发动机最大功率</w:t>
                  </w:r>
                </w:p>
              </w:tc>
              <w:tc>
                <w:tcPr>
                  <w:tcW w:type="dxa" w:w="119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≥74kW</w:t>
                  </w:r>
                </w:p>
              </w:tc>
            </w:tr>
            <w:tr>
              <w:tc>
                <w:tcPr>
                  <w:tcW w:type="dxa" w:w="27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9</w:t>
                  </w:r>
                </w:p>
              </w:tc>
              <w:tc>
                <w:tcPr>
                  <w:tcW w:type="dxa" w:w="107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发动机最大扭矩/最大马力</w:t>
                  </w:r>
                </w:p>
              </w:tc>
              <w:tc>
                <w:tcPr>
                  <w:tcW w:type="dxa" w:w="119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≥126N.m/≥100Ps</w:t>
                  </w:r>
                </w:p>
              </w:tc>
            </w:tr>
            <w:tr>
              <w:tc>
                <w:tcPr>
                  <w:tcW w:type="dxa" w:w="27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w:t>
                  </w:r>
                </w:p>
              </w:tc>
              <w:tc>
                <w:tcPr>
                  <w:tcW w:type="dxa" w:w="107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电动机总动率</w:t>
                  </w:r>
                </w:p>
              </w:tc>
              <w:tc>
                <w:tcPr>
                  <w:tcW w:type="dxa" w:w="119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≥120kW</w:t>
                  </w:r>
                </w:p>
              </w:tc>
            </w:tr>
            <w:tr>
              <w:tc>
                <w:tcPr>
                  <w:tcW w:type="dxa" w:w="27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11</w:t>
                  </w:r>
                </w:p>
              </w:tc>
              <w:tc>
                <w:tcPr>
                  <w:tcW w:type="dxa" w:w="107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电动机总扭矩</w:t>
                  </w:r>
                </w:p>
              </w:tc>
              <w:tc>
                <w:tcPr>
                  <w:tcW w:type="dxa" w:w="119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≥210N.m</w:t>
                  </w:r>
                </w:p>
              </w:tc>
            </w:tr>
            <w:tr>
              <w:tc>
                <w:tcPr>
                  <w:tcW w:type="dxa" w:w="27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12</w:t>
                  </w:r>
                </w:p>
              </w:tc>
              <w:tc>
                <w:tcPr>
                  <w:tcW w:type="dxa" w:w="107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车身尺寸：</w:t>
                  </w:r>
                </w:p>
              </w:tc>
              <w:tc>
                <w:tcPr>
                  <w:tcW w:type="dxa" w:w="119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长≥4830mm宽≥1850mm高≥1495mm</w:t>
                  </w:r>
                </w:p>
              </w:tc>
            </w:tr>
            <w:tr>
              <w:tc>
                <w:tcPr>
                  <w:tcW w:type="dxa" w:w="27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13</w:t>
                  </w:r>
                </w:p>
              </w:tc>
              <w:tc>
                <w:tcPr>
                  <w:tcW w:type="dxa" w:w="107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轴距</w:t>
                  </w:r>
                </w:p>
              </w:tc>
              <w:tc>
                <w:tcPr>
                  <w:tcW w:type="dxa" w:w="119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≥2700mm</w:t>
                  </w:r>
                </w:p>
              </w:tc>
            </w:tr>
            <w:tr>
              <w:tc>
                <w:tcPr>
                  <w:tcW w:type="dxa" w:w="27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14</w:t>
                  </w:r>
                </w:p>
              </w:tc>
              <w:tc>
                <w:tcPr>
                  <w:tcW w:type="dxa" w:w="107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油箱容积</w:t>
                  </w:r>
                </w:p>
              </w:tc>
              <w:tc>
                <w:tcPr>
                  <w:tcW w:type="dxa" w:w="119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≥50L</w:t>
                  </w:r>
                </w:p>
              </w:tc>
            </w:tr>
            <w:tr>
              <w:tc>
                <w:tcPr>
                  <w:tcW w:type="dxa" w:w="27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15</w:t>
                  </w:r>
                </w:p>
              </w:tc>
              <w:tc>
                <w:tcPr>
                  <w:tcW w:type="dxa" w:w="107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制动器类型（前/后）</w:t>
                  </w:r>
                </w:p>
              </w:tc>
              <w:tc>
                <w:tcPr>
                  <w:tcW w:type="dxa" w:w="119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通风盘式/盘式</w:t>
                  </w:r>
                </w:p>
              </w:tc>
            </w:tr>
            <w:tr>
              <w:tc>
                <w:tcPr>
                  <w:tcW w:type="dxa" w:w="27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16</w:t>
                  </w:r>
                </w:p>
              </w:tc>
              <w:tc>
                <w:tcPr>
                  <w:tcW w:type="dxa" w:w="107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车身稳定系统</w:t>
                  </w:r>
                </w:p>
              </w:tc>
              <w:tc>
                <w:tcPr>
                  <w:tcW w:type="dxa" w:w="119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有</w:t>
                  </w:r>
                </w:p>
              </w:tc>
            </w:tr>
            <w:tr>
              <w:tc>
                <w:tcPr>
                  <w:tcW w:type="dxa" w:w="27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17</w:t>
                  </w:r>
                </w:p>
              </w:tc>
              <w:tc>
                <w:tcPr>
                  <w:tcW w:type="dxa" w:w="107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多功能方向盘</w:t>
                  </w:r>
                </w:p>
              </w:tc>
              <w:tc>
                <w:tcPr>
                  <w:tcW w:type="dxa" w:w="119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有</w:t>
                  </w:r>
                </w:p>
              </w:tc>
            </w:tr>
            <w:tr>
              <w:tc>
                <w:tcPr>
                  <w:tcW w:type="dxa" w:w="27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18</w:t>
                  </w:r>
                </w:p>
              </w:tc>
              <w:tc>
                <w:tcPr>
                  <w:tcW w:type="dxa" w:w="107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中控台显示屏</w:t>
                  </w:r>
                </w:p>
              </w:tc>
              <w:tc>
                <w:tcPr>
                  <w:tcW w:type="dxa" w:w="119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≥10.25英寸</w:t>
                  </w:r>
                </w:p>
              </w:tc>
            </w:tr>
            <w:tr>
              <w:tc>
                <w:tcPr>
                  <w:tcW w:type="dxa" w:w="27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19</w:t>
                  </w:r>
                </w:p>
              </w:tc>
              <w:tc>
                <w:tcPr>
                  <w:tcW w:type="dxa" w:w="107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车内中控锁</w:t>
                  </w:r>
                </w:p>
              </w:tc>
              <w:tc>
                <w:tcPr>
                  <w:tcW w:type="dxa" w:w="119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有</w:t>
                  </w:r>
                </w:p>
              </w:tc>
            </w:tr>
            <w:tr>
              <w:tc>
                <w:tcPr>
                  <w:tcW w:type="dxa" w:w="27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20</w:t>
                  </w:r>
                </w:p>
              </w:tc>
              <w:tc>
                <w:tcPr>
                  <w:tcW w:type="dxa" w:w="107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悬架类型</w:t>
                  </w:r>
                </w:p>
              </w:tc>
              <w:tc>
                <w:tcPr>
                  <w:tcW w:type="dxa" w:w="119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前悬架麦弗逊式独立悬架，后悬架为多连杆独立悬架</w:t>
                  </w:r>
                </w:p>
              </w:tc>
            </w:tr>
            <w:tr>
              <w:tc>
                <w:tcPr>
                  <w:tcW w:type="dxa" w:w="27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21</w:t>
                  </w:r>
                </w:p>
              </w:tc>
              <w:tc>
                <w:tcPr>
                  <w:tcW w:type="dxa" w:w="107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整车质保</w:t>
                  </w:r>
                </w:p>
              </w:tc>
              <w:tc>
                <w:tcPr>
                  <w:tcW w:type="dxa" w:w="119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≥6年或15万公里</w:t>
                  </w:r>
                </w:p>
              </w:tc>
            </w:tr>
            <w:tr>
              <w:tc>
                <w:tcPr>
                  <w:tcW w:type="dxa" w:w="27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22</w:t>
                  </w:r>
                </w:p>
              </w:tc>
              <w:tc>
                <w:tcPr>
                  <w:tcW w:type="dxa" w:w="107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电池组质保</w:t>
                  </w:r>
                </w:p>
              </w:tc>
              <w:tc>
                <w:tcPr>
                  <w:tcW w:type="dxa" w:w="119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电池/电机/电控/三电质保终身</w:t>
                  </w:r>
                </w:p>
              </w:tc>
            </w:tr>
            <w:tr>
              <w:tc>
                <w:tcPr>
                  <w:tcW w:type="dxa" w:w="27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23</w:t>
                  </w:r>
                </w:p>
              </w:tc>
              <w:tc>
                <w:tcPr>
                  <w:tcW w:type="dxa" w:w="107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座椅材质</w:t>
                  </w:r>
                </w:p>
              </w:tc>
              <w:tc>
                <w:tcPr>
                  <w:tcW w:type="dxa" w:w="119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仿皮</w:t>
                  </w:r>
                </w:p>
              </w:tc>
            </w:tr>
            <w:tr>
              <w:tc>
                <w:tcPr>
                  <w:tcW w:type="dxa" w:w="27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24</w:t>
                  </w:r>
                </w:p>
              </w:tc>
              <w:tc>
                <w:tcPr>
                  <w:tcW w:type="dxa" w:w="107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安全配置</w:t>
                  </w:r>
                </w:p>
              </w:tc>
              <w:tc>
                <w:tcPr>
                  <w:tcW w:type="dxa" w:w="119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全景影像/前后驻车雷达/6安全气囊</w:t>
                  </w:r>
                </w:p>
              </w:tc>
            </w:tr>
            <w:tr>
              <w:tc>
                <w:tcPr>
                  <w:tcW w:type="dxa" w:w="27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25</w:t>
                  </w:r>
                </w:p>
              </w:tc>
              <w:tc>
                <w:tcPr>
                  <w:tcW w:type="dxa" w:w="107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▲电池类型</w:t>
                  </w:r>
                </w:p>
              </w:tc>
              <w:tc>
                <w:tcPr>
                  <w:tcW w:type="dxa" w:w="119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磷酸铁锂电池</w:t>
                  </w:r>
                </w:p>
              </w:tc>
            </w:tr>
            <w:tr>
              <w:tc>
                <w:tcPr>
                  <w:tcW w:type="dxa" w:w="27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26</w:t>
                  </w:r>
                </w:p>
              </w:tc>
              <w:tc>
                <w:tcPr>
                  <w:tcW w:type="dxa" w:w="107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亮点配置</w:t>
                  </w:r>
                </w:p>
              </w:tc>
              <w:tc>
                <w:tcPr>
                  <w:tcW w:type="dxa" w:w="119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扬声器/多媒体屏幕/后视镜自动调节/usb充电接口</w:t>
                  </w:r>
                </w:p>
              </w:tc>
            </w:tr>
          </w:tbl>
          <w:p>
            <w:pPr>
              <w:pStyle w:val="null3"/>
              <w:jc w:val="both"/>
            </w:pPr>
            <w:r>
              <w:rPr>
                <w:rFonts w:ascii="仿宋_GB2312" w:hAnsi="仿宋_GB2312" w:cs="仿宋_GB2312" w:eastAsia="仿宋_GB2312"/>
                <w:sz w:val="22"/>
                <w:color w:val="000000"/>
              </w:rPr>
              <w:t>注：</w:t>
            </w:r>
            <w:r>
              <w:rPr>
                <w:rFonts w:ascii="仿宋_GB2312" w:hAnsi="仿宋_GB2312" w:cs="仿宋_GB2312" w:eastAsia="仿宋_GB2312"/>
                <w:sz w:val="22"/>
                <w:color w:val="000000"/>
              </w:rPr>
              <w:t>1.本项目核心产品：4辆执法执勤车。</w:t>
            </w:r>
          </w:p>
          <w:p>
            <w:pPr>
              <w:pStyle w:val="null3"/>
              <w:ind w:firstLine="440"/>
              <w:jc w:val="both"/>
            </w:pPr>
            <w:r>
              <w:rPr>
                <w:rFonts w:ascii="仿宋_GB2312" w:hAnsi="仿宋_GB2312" w:cs="仿宋_GB2312" w:eastAsia="仿宋_GB2312"/>
                <w:sz w:val="22"/>
                <w:color w:val="000000"/>
              </w:rPr>
              <w:t>2.标★参数需求为实质性要求，供应商必须响应并满足的参数需求。</w:t>
            </w:r>
          </w:p>
          <w:p>
            <w:pPr>
              <w:pStyle w:val="null3"/>
              <w:ind w:firstLine="440"/>
            </w:pPr>
            <w:r>
              <w:rPr>
                <w:rFonts w:ascii="仿宋_GB2312" w:hAnsi="仿宋_GB2312" w:cs="仿宋_GB2312" w:eastAsia="仿宋_GB2312"/>
                <w:sz w:val="22"/>
                <w:color w:val="000000"/>
              </w:rPr>
              <w:t>3.标▲项为重要参数，不满足将影响评分。</w:t>
            </w:r>
          </w:p>
          <w:p>
            <w:pPr>
              <w:pStyle w:val="null3"/>
            </w:pP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7个日历日内完成全部车辆交付</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 xml:space="preserve"> 付款条件说明： </w:t>
      </w:r>
      <w:r>
        <w:rPr>
          <w:rFonts w:ascii="仿宋_GB2312" w:hAnsi="仿宋_GB2312" w:cs="仿宋_GB2312" w:eastAsia="仿宋_GB2312"/>
        </w:rPr>
        <w:t>车辆到达采购人指定地点并验收合格后，支付车辆总价款</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 支付合同总金额的</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车辆及其备附件到达采购人指定地点后，采购人根据合同要求，在中标供应商和采购人相关负责人双方同时在场的情况下，进行外观验收，确认产地、规格、型号和数量、车体喷涂及上牌（车身规范粘贴“市场监督管理”制式标识，车体喷涂、字体、尺寸、位置等符合《市场监督管理执法装备配备指南》，粘贴平整、不易脱落）。 必要时采购人可委托具有相关资质的第三方检测机构/技术专家对车辆进行验收，需要国家法定检验部门进行检验或验收的由中标供应商负责联系）。验收合格后，填写政府采购项目验收单作为对车辆的最终认可。 （二）验收依据 1、招标文件、投标文件； 2、本合同及附件文本； 3、合同签订时国家及行业现行的标准和技术规范。 （三）中标供应商应向采购人提交项目实施过程中的所有资料，以便采购人日后管理和维护。</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（一）整车质保不低于 6年或 15 万公里，质保期内 1、凡正常使用中出现的故障，均由中标供应商负责提供免费检测维修、更换不合格的零部件直至整机（更换的零部件或整机应保证自更换之日起提供相同的质量保证期），若需返厂处理，中标供应商应承担相关费用。同时记录检修情况，并向采购人提供检修报告。 2、凡设备发生质量问题或出现其他故障，接到采购人通知后，服务响应时间不超过1小时，2小时内派专业维修人员到达现场，4小时内排除故障。排除故障的期限最长不得超过两个工作日，否则采购人有权指定第三方维修，维修费用由中标供应商承担。 3、免费提供每周7×24小时不间断的电话支持服务，解答用户在使用过程中遇到的问题，及时提出解决问题的建议和对策。 4、定期派专业维修人员到现场走访，给予检查维护。并向采购人提供巡检单（一式两份，由双方签字确认），内容包含但不限于巡检时间、巡检内容、巡检结果。 5、款项结清前，对所供车辆进行一次全面检测、保养和维护。 （二）质保期满后 中标供应商应保证以合理的价格提供维护和保养服务，当发生故障时，中标供应商应按质保期内相同的服务标准进行维护处理。</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（一）按《中华人民共和国民法典》中的相关条款执行。 （二）未按合同要求提供服务或服务质量不能满足合同要求，采购人有权依据《中华人民共和国民法典》有关条款及合同约定终止合同，并要求中标人承担违约责任。 （三）中标人未按合同约定的交货日期交货的，每逾期一日，向采购人支付逾期交付货物价款的 2%的违约金，但不超过合同总金额的10%。中标人支付逾期交货违约金并不免除其交货的责任。 如中标人在政府采购合同规定的交货日期后 10 天内仍未能交货，则视为中标人不能交货，采购人有权解除政府采购合同，中标人除退还已收取的货款外，还应向采购人偿付政府采购合同总金额 10%的违约金，并承担由此给采购人造成的一切损失。 （四）中标人所交付货物不符合其投标承诺，存在偷工减料、以次充好情形的，采购人要求更换一次后仍不符合约定的，采购人有权解除政府采购合同，并将有关情况上报政府采购监管部门处理。 争议解决 执行本合同中产生纠纷，由采购人与中标人双方协商解决；协商不成， 向有管辖权的人民法院提起诉讼。</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提供具有财务审计资质单位出具的2024年度或2025年度财务报告（成立时间至开标时间不足一年的可提供成立后任意时段的资产负债表）或开标前六个月内其基本账户银行出具的资信证明或政府采购信用担保机构出具的担保函。（以上三种形式的资料提供任意一种即可）</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营业执照等证明文件</w:t>
            </w:r>
          </w:p>
        </w:tc>
        <w:tc>
          <w:tcPr>
            <w:tcW w:type="dxa" w:w="3322"/>
          </w:tcPr>
          <w:p>
            <w:pPr>
              <w:pStyle w:val="null3"/>
            </w:pPr>
            <w:r>
              <w:rPr>
                <w:rFonts w:ascii="仿宋_GB2312" w:hAnsi="仿宋_GB2312" w:cs="仿宋_GB2312" w:eastAsia="仿宋_GB2312"/>
              </w:rPr>
              <w:t>供应商须提供合法注册的法人或其他组织的营业执照等证明文件</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供应商应授权合法的人员参加投标全过程，其中法定代表人直接参加投标的，须提供法定代表人身份证明书。法定代表人授权代表参加投标的，须提供法定代表人授权书。</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税收及社保缴纳证明</w:t>
            </w:r>
          </w:p>
        </w:tc>
        <w:tc>
          <w:tcPr>
            <w:tcW w:type="dxa" w:w="3322"/>
          </w:tcPr>
          <w:p>
            <w:pPr>
              <w:pStyle w:val="null3"/>
            </w:pPr>
            <w:r>
              <w:rPr>
                <w:rFonts w:ascii="仿宋_GB2312" w:hAnsi="仿宋_GB2312" w:cs="仿宋_GB2312" w:eastAsia="仿宋_GB2312"/>
              </w:rPr>
              <w:t>提供响应文件递交截止时间前一年内任意一个月的税收缴费凭据；依法免税的应提供相关文件证明；提供响应文件递交截止时间前一年内任意一个月的社保缴费凭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财务审计报告或资信证明</w:t>
            </w:r>
          </w:p>
        </w:tc>
        <w:tc>
          <w:tcPr>
            <w:tcW w:type="dxa" w:w="3322"/>
          </w:tcPr>
          <w:p>
            <w:pPr>
              <w:pStyle w:val="null3"/>
            </w:pPr>
            <w:r>
              <w:rPr>
                <w:rFonts w:ascii="仿宋_GB2312" w:hAnsi="仿宋_GB2312" w:cs="仿宋_GB2312" w:eastAsia="仿宋_GB2312"/>
              </w:rPr>
              <w:t>提供具有财务审计资质单位出具的2024年度财务报告（成立时间至开标时间不足一年的可提供成立后任意时段的资产负债表）或开标前六个月内其基本账户银行出具的资信证明或政府采购信用担保机构出具的担保函。（以上三种形式的资料提供任意一种即可）</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合同书面声明及承诺</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参加政府采购活动前三年内在经营活动中没有重大违法记录的书面声明</w:t>
            </w:r>
          </w:p>
        </w:tc>
        <w:tc>
          <w:tcPr>
            <w:tcW w:type="dxa" w:w="3322"/>
          </w:tcPr>
          <w:p>
            <w:pPr>
              <w:pStyle w:val="null3"/>
            </w:pPr>
            <w:r>
              <w:rPr>
                <w:rFonts w:ascii="仿宋_GB2312" w:hAnsi="仿宋_GB2312" w:cs="仿宋_GB2312" w:eastAsia="仿宋_GB2312"/>
              </w:rPr>
              <w:t>提供参加政府采购活动前3年内在经营活动中没有重大违法记录的书面声明。</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提供《供应商信用记录书面声明函》。经查，投标人未被列入“信用中国”网站记录的“失信被执行人”或“重大税收违法失信主体”名单；不处于“中国政府采购网”记录的“政府采购严重违法失信行为记录名单”中禁止参加政府采购活动期间 ； 供应商需在项目电子化交易系统中按要求上传《供应商信用记录书面声明函》并进行电子签章。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无控股、管理关系承诺</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投标人应提交的相关资格证明材料.docx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投标文件按招标文件要求的数量、计量单位、报价货币及签字盖章</w:t>
            </w:r>
          </w:p>
        </w:tc>
        <w:tc>
          <w:tcPr>
            <w:tcW w:type="dxa" w:w="3322"/>
          </w:tcPr>
          <w:p>
            <w:pPr>
              <w:pStyle w:val="null3"/>
            </w:pPr>
            <w:r>
              <w:rPr>
                <w:rFonts w:ascii="仿宋_GB2312" w:hAnsi="仿宋_GB2312" w:cs="仿宋_GB2312" w:eastAsia="仿宋_GB2312"/>
              </w:rPr>
              <w:t>投标文件按招标文件要求的计量单位、报价货币及签字盖章（合格）投标文件未按招标文件要求的计量单位、报价货币及签字盖章（不合格）</w:t>
            </w:r>
          </w:p>
        </w:tc>
        <w:tc>
          <w:tcPr>
            <w:tcW w:type="dxa" w:w="1661"/>
          </w:tcPr>
          <w:p>
            <w:pPr>
              <w:pStyle w:val="null3"/>
            </w:pPr>
            <w:r>
              <w:rPr>
                <w:rFonts w:ascii="仿宋_GB2312" w:hAnsi="仿宋_GB2312" w:cs="仿宋_GB2312" w:eastAsia="仿宋_GB2312"/>
              </w:rPr>
              <w:t>投标函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符合招标文件的要求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对技术和商务要求响应</w:t>
            </w:r>
          </w:p>
        </w:tc>
        <w:tc>
          <w:tcPr>
            <w:tcW w:type="dxa" w:w="3322"/>
          </w:tcPr>
          <w:p>
            <w:pPr>
              <w:pStyle w:val="null3"/>
            </w:pPr>
            <w:r>
              <w:rPr>
                <w:rFonts w:ascii="仿宋_GB2312" w:hAnsi="仿宋_GB2312" w:cs="仿宋_GB2312" w:eastAsia="仿宋_GB2312"/>
              </w:rPr>
              <w:t>完全理解并接受招标文件中技术和商务要求。</w:t>
            </w:r>
          </w:p>
        </w:tc>
        <w:tc>
          <w:tcPr>
            <w:tcW w:type="dxa" w:w="1661"/>
          </w:tcPr>
          <w:p>
            <w:pPr>
              <w:pStyle w:val="null3"/>
            </w:pPr>
            <w:r>
              <w:rPr>
                <w:rFonts w:ascii="仿宋_GB2312" w:hAnsi="仿宋_GB2312" w:cs="仿宋_GB2312" w:eastAsia="仿宋_GB2312"/>
              </w:rPr>
              <w:t>产品技术参数表 商务应答表 技术响应偏离表.docx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报价一览表</w:t>
            </w:r>
          </w:p>
        </w:tc>
        <w:tc>
          <w:tcPr>
            <w:tcW w:type="dxa" w:w="3322"/>
          </w:tcPr>
          <w:p>
            <w:pPr>
              <w:pStyle w:val="null3"/>
            </w:pPr>
            <w:r>
              <w:rPr>
                <w:rFonts w:ascii="仿宋_GB2312" w:hAnsi="仿宋_GB2312" w:cs="仿宋_GB2312" w:eastAsia="仿宋_GB2312"/>
              </w:rPr>
              <w:t>（1）报价符合唯一性要求： （2）报价一览表填写符合要求； （3）报价货币符合招标文件要求； （4）未超出采购文件规定的最高限制价。</w:t>
            </w:r>
          </w:p>
        </w:tc>
        <w:tc>
          <w:tcPr>
            <w:tcW w:type="dxa" w:w="1661"/>
          </w:tcPr>
          <w:p>
            <w:pPr>
              <w:pStyle w:val="null3"/>
            </w:pPr>
            <w:r>
              <w:rPr>
                <w:rFonts w:ascii="仿宋_GB2312" w:hAnsi="仿宋_GB2312" w:cs="仿宋_GB2312" w:eastAsia="仿宋_GB2312"/>
              </w:rPr>
              <w:t>开标一览表 产品技术参数表 分项报价表.docx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响应文件签字、盖章</w:t>
            </w:r>
          </w:p>
        </w:tc>
        <w:tc>
          <w:tcPr>
            <w:tcW w:type="dxa" w:w="3322"/>
          </w:tcPr>
          <w:p>
            <w:pPr>
              <w:pStyle w:val="null3"/>
            </w:pPr>
            <w:r>
              <w:rPr>
                <w:rFonts w:ascii="仿宋_GB2312" w:hAnsi="仿宋_GB2312" w:cs="仿宋_GB2312" w:eastAsia="仿宋_GB2312"/>
              </w:rPr>
              <w:t>签字、盖章符合文件要求，且无遗漏。</w:t>
            </w:r>
          </w:p>
        </w:tc>
        <w:tc>
          <w:tcPr>
            <w:tcW w:type="dxa" w:w="1661"/>
          </w:tcPr>
          <w:p>
            <w:pPr>
              <w:pStyle w:val="null3"/>
            </w:pPr>
            <w:r>
              <w:rPr>
                <w:rFonts w:ascii="仿宋_GB2312" w:hAnsi="仿宋_GB2312" w:cs="仿宋_GB2312" w:eastAsia="仿宋_GB2312"/>
              </w:rPr>
              <w:t>本国产品说明 中小企业声明函 商务应答表 供应商承诺书（一）（二）.docx 中国境内生产的组件成本核算基本规则 供应商概况.docx 投标方案说明书.docx 产品技术参数表 投标人应提交的相关资格证明材料.docx 分项报价表.docx 投标函 残疾人福利性单位声明函 技术响应偏离表.docx 标的清单 关于符合本国产品标准的声明函 投标文件封面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合同条款</w:t>
            </w:r>
          </w:p>
        </w:tc>
        <w:tc>
          <w:tcPr>
            <w:tcW w:type="dxa" w:w="3322"/>
          </w:tcPr>
          <w:p>
            <w:pPr>
              <w:pStyle w:val="null3"/>
            </w:pPr>
            <w:r>
              <w:rPr>
                <w:rFonts w:ascii="仿宋_GB2312" w:hAnsi="仿宋_GB2312" w:cs="仿宋_GB2312" w:eastAsia="仿宋_GB2312"/>
              </w:rPr>
              <w:t>完全理解并接受文件合同条款的要求</w:t>
            </w:r>
          </w:p>
        </w:tc>
        <w:tc>
          <w:tcPr>
            <w:tcW w:type="dxa" w:w="1661"/>
          </w:tcPr>
          <w:p>
            <w:pPr>
              <w:pStyle w:val="null3"/>
            </w:pPr>
            <w:r>
              <w:rPr>
                <w:rFonts w:ascii="仿宋_GB2312" w:hAnsi="仿宋_GB2312" w:cs="仿宋_GB2312" w:eastAsia="仿宋_GB2312"/>
              </w:rPr>
              <w:t>合同文本响应.docx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完全理解并接受法律法规和招标文件对供应商的各项须知、规约要求和责任义务，没有出现法律法规或招标文件明确规定的其他被视为“无效响应”的情形</w:t>
            </w:r>
          </w:p>
        </w:tc>
        <w:tc>
          <w:tcPr>
            <w:tcW w:type="dxa" w:w="1661"/>
          </w:tcPr>
          <w:p>
            <w:pPr>
              <w:pStyle w:val="null3"/>
            </w:pPr>
            <w:r>
              <w:rPr>
                <w:rFonts w:ascii="仿宋_GB2312" w:hAnsi="仿宋_GB2312" w:cs="仿宋_GB2312" w:eastAsia="仿宋_GB2312"/>
              </w:rPr>
              <w:t>无“无效响应”情况声明.docx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技术参数响应</w:t>
            </w:r>
          </w:p>
        </w:tc>
        <w:tc>
          <w:tcPr>
            <w:tcW w:type="dxa" w:w="2492"/>
          </w:tcPr>
          <w:p>
            <w:pPr>
              <w:pStyle w:val="null3"/>
            </w:pPr>
            <w:r>
              <w:rPr>
                <w:rFonts w:ascii="仿宋_GB2312" w:hAnsi="仿宋_GB2312" w:cs="仿宋_GB2312" w:eastAsia="仿宋_GB2312"/>
              </w:rPr>
              <w:t>投标人按要求填写技术规格偏离表，产品技术参数明确，无负偏离，产品规格符合招标文件要求、数量准确无缺漏项的得28分，其中标记▲技术参数每负偏离一项扣2分，其他技术参数每负偏离一项扣1分。扣完为止。备注：1.▲项参数需提供佐证材料，否则视为未响应。佐证材料例包括但不限于：技术资料、第三方检测报告，制造厂家出具的对应产品的铭牌，制造厂家出具的对应产品的彩页；制造厂家官网截图等。 2.佐证材料与技术指标不一致或未按要求提供证明材料的视为负偏离。</w:t>
            </w:r>
          </w:p>
        </w:tc>
        <w:tc>
          <w:tcPr>
            <w:tcW w:type="dxa" w:w="831"/>
          </w:tcPr>
          <w:p>
            <w:pPr>
              <w:pStyle w:val="null3"/>
              <w:jc w:val="right"/>
            </w:pPr>
            <w:r>
              <w:rPr>
                <w:rFonts w:ascii="仿宋_GB2312" w:hAnsi="仿宋_GB2312" w:cs="仿宋_GB2312" w:eastAsia="仿宋_GB2312"/>
              </w:rPr>
              <w:t>28.0000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技术响应偏离表.docx</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一、评审内容：投标人需针对本项目提供完整的项目实施方案。内容包含：①人员、 物力配置方案②项目进度安排③验收及挂牌保证措施④应急处置 措施。 二、 评审标准： 1、完善性：方案必须全面，对评审内容中的各项要求有详细阐述； 2、可实施性：切合本项目实际情况，提出步骤清晰、合理的方案； 3、针对性：方案能够紧扣项目实际情况，内容科学合理。上述4项评审内容无缺项、漏项且无缺陷的得8分，其中每有一项内容存在缺项或漏项的扣2分，每有一处评审内容存在缺陷，扣1分，该项分值扣完为止，未提供不得分。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技术培训服务方案</w:t>
            </w:r>
          </w:p>
        </w:tc>
        <w:tc>
          <w:tcPr>
            <w:tcW w:type="dxa" w:w="2492"/>
          </w:tcPr>
          <w:p>
            <w:pPr>
              <w:pStyle w:val="null3"/>
            </w:pPr>
            <w:r>
              <w:rPr>
                <w:rFonts w:ascii="仿宋_GB2312" w:hAnsi="仿宋_GB2312" w:cs="仿宋_GB2312" w:eastAsia="仿宋_GB2312"/>
              </w:rPr>
              <w:t>一、评审内容： 投标人需针对本项目提供技术培训服务方案，内容包含：①详细功能和性能②常见故障的排除及紧急情况的处理。 二、评审标准： 1、完善性：方案必须全面，对评审内容中的各项要求有详细阐述； 2、可实施性：切合本项目实际情况，提出步骤清晰、合理的方案； 3、针对性：方案能够紧扣项目实际情况，内容科学合理。上述2项评审内容无缺项、漏项且无缺陷的得8分，其中每有一项内容存在缺项或漏项的扣4分，每有一处评审内容存在缺陷，扣2分，该项分值扣完为止，未提供不得分。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来源渠道</w:t>
            </w:r>
          </w:p>
        </w:tc>
        <w:tc>
          <w:tcPr>
            <w:tcW w:type="dxa" w:w="2492"/>
          </w:tcPr>
          <w:p>
            <w:pPr>
              <w:pStyle w:val="null3"/>
            </w:pPr>
            <w:r>
              <w:rPr>
                <w:rFonts w:ascii="仿宋_GB2312" w:hAnsi="仿宋_GB2312" w:cs="仿宋_GB2312" w:eastAsia="仿宋_GB2312"/>
              </w:rPr>
              <w:t>投标人提供所投车辆的合法来源渠道证明文件或情况说明，得3分，不提供不得分。投标人可根据自身情况提供以下资料： 1、如投标人为所投产品经销商：提供货物的合法来源渠道证明文 件（例如：产品制造商授权、销售协议、代理协议等证明文件）。 2、如投标人为所投产品的制造商：需提供情况说明（说明产品为制造商自己生产）。 备注：以加盖投标人公章的证明材料复印件为计分依据。</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 根据项目实际需求提供售后服务方案。内容包含：①售后服务范围 ②故障处理响应时间方式及补救措施③产品维护和检修。 二、评审标准：1、完善性：方案必须全面，对评审内容中的各项要求有详细阐述； 2、可实施性：切合本项目实际情况，提出步骤清晰、合理的方案； 3、针对性：方案能够紧扣项目实际情况，内容科学合理。上述3项评审内容无缺项、漏项且无缺陷的得9分，其中每有一项内容存在缺项或漏项的扣3分，每有一处评审内容存在缺陷，扣1分，该项分值扣完为止，未提供不得分。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以合同复印件形式提供投标人2023年1月1日至今类似项目业绩，每份计1分，计满4分为止。 注：投标人需提供采购合同（含采购设备品牌型号页、配置清单页、签字盖章页）复印件，否则业绩不予认可。</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满足招标文件要求且投标价格最低的投标报价（落实政府采购政策进行价格调整的，以调整后的价格计算）为评标基准价，其价格分为满分。其他供应商的价格分统一按照下列公式计算： 投标报价得分=(评标基准价／投标报价)×40。 本项目采购标的对应的中小企业划分标准所属行业为工业。对符合价格扣除条件的小微企业报价给予 10 %的扣除，用扣除后的价格参加评审。根据《国务院办公厅关于在政府采购中实施本国产品标准及相关政策的通知》(国办发[2025]34号)的规定，对提供的产品属于本国产品给予报价优惠政策。政府采购活动中既有本国产品又有非本国产品参与竟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提供关于符合本国产品标准的声明函或有关证明文件。</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开标一览表</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详见附件：供应商承诺书（一）（二）.docx</w:t>
      </w:r>
    </w:p>
    <w:p>
      <w:pPr>
        <w:pStyle w:val="null3"/>
        <w:ind w:firstLine="960"/>
      </w:pPr>
      <w:r>
        <w:rPr>
          <w:rFonts w:ascii="仿宋_GB2312" w:hAnsi="仿宋_GB2312" w:cs="仿宋_GB2312" w:eastAsia="仿宋_GB2312"/>
        </w:rPr>
        <w:t>详见附件：供应商概况.docx</w:t>
      </w:r>
    </w:p>
    <w:p>
      <w:pPr>
        <w:pStyle w:val="null3"/>
        <w:ind w:firstLine="960"/>
      </w:pPr>
      <w:r>
        <w:rPr>
          <w:rFonts w:ascii="仿宋_GB2312" w:hAnsi="仿宋_GB2312" w:cs="仿宋_GB2312" w:eastAsia="仿宋_GB2312"/>
        </w:rPr>
        <w:t>详见附件：合同文本响应.docx</w:t>
      </w:r>
    </w:p>
    <w:p>
      <w:pPr>
        <w:pStyle w:val="null3"/>
        <w:ind w:firstLine="960"/>
      </w:pPr>
      <w:r>
        <w:rPr>
          <w:rFonts w:ascii="仿宋_GB2312" w:hAnsi="仿宋_GB2312" w:cs="仿宋_GB2312" w:eastAsia="仿宋_GB2312"/>
        </w:rPr>
        <w:t>详见附件：投标方案说明书.docx</w:t>
      </w:r>
    </w:p>
    <w:p>
      <w:pPr>
        <w:pStyle w:val="null3"/>
        <w:ind w:firstLine="960"/>
      </w:pPr>
      <w:r>
        <w:rPr>
          <w:rFonts w:ascii="仿宋_GB2312" w:hAnsi="仿宋_GB2312" w:cs="仿宋_GB2312" w:eastAsia="仿宋_GB2312"/>
        </w:rPr>
        <w:t>详见附件：投标人应提交的相关资格证明材料.docx</w:t>
      </w:r>
    </w:p>
    <w:p>
      <w:pPr>
        <w:pStyle w:val="null3"/>
        <w:ind w:firstLine="960"/>
      </w:pPr>
      <w:r>
        <w:rPr>
          <w:rFonts w:ascii="仿宋_GB2312" w:hAnsi="仿宋_GB2312" w:cs="仿宋_GB2312" w:eastAsia="仿宋_GB2312"/>
        </w:rPr>
        <w:t>详见附件：无“无效响应”情况声明.docx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详见附件：技术响应偏离表.docx</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详见附件：执法执勤车辆采购项目合同.docx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