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7CE30B">
      <w:pPr>
        <w:jc w:val="center"/>
        <w:rPr>
          <w:rFonts w:hint="eastAsia" w:ascii="宋体" w:hAnsi="宋体"/>
          <w:b/>
          <w:sz w:val="48"/>
          <w:szCs w:val="48"/>
        </w:rPr>
      </w:pPr>
    </w:p>
    <w:p w14:paraId="2CF78E69">
      <w:pPr>
        <w:jc w:val="center"/>
        <w:rPr>
          <w:rFonts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执法执勤车辆采购项目</w:t>
      </w:r>
    </w:p>
    <w:p w14:paraId="2976760C">
      <w:pPr>
        <w:jc w:val="center"/>
        <w:rPr>
          <w:rFonts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合同书</w:t>
      </w:r>
    </w:p>
    <w:p w14:paraId="6652195D">
      <w:pPr>
        <w:jc w:val="center"/>
        <w:rPr>
          <w:rFonts w:ascii="宋体" w:hAnsi="宋体"/>
          <w:b/>
          <w:sz w:val="48"/>
          <w:szCs w:val="48"/>
        </w:rPr>
      </w:pPr>
    </w:p>
    <w:p w14:paraId="312D916D">
      <w:pPr>
        <w:jc w:val="center"/>
        <w:rPr>
          <w:rFonts w:ascii="宋体" w:hAnsi="宋体"/>
          <w:b/>
          <w:sz w:val="48"/>
          <w:szCs w:val="48"/>
        </w:rPr>
      </w:pPr>
    </w:p>
    <w:p w14:paraId="12256A83">
      <w:pPr>
        <w:jc w:val="center"/>
        <w:rPr>
          <w:rFonts w:ascii="宋体" w:hAnsi="宋体"/>
          <w:b/>
          <w:sz w:val="48"/>
          <w:szCs w:val="48"/>
        </w:rPr>
      </w:pPr>
    </w:p>
    <w:p w14:paraId="46308305">
      <w:pPr>
        <w:pStyle w:val="2"/>
        <w:widowControl/>
        <w:shd w:val="clear" w:color="auto" w:fill="FFFFFF"/>
        <w:spacing w:beforeAutospacing="0" w:afterAutospacing="0" w:line="288" w:lineRule="atLeast"/>
        <w:jc w:val="center"/>
        <w:rPr>
          <w:rFonts w:hint="default" w:eastAsia="仿宋" w:cs="宋体"/>
          <w:color w:val="333333"/>
          <w:sz w:val="21"/>
          <w:szCs w:val="21"/>
          <w:lang w:val="en-US" w:eastAsia="zh-CN"/>
        </w:rPr>
      </w:pPr>
      <w:r>
        <w:rPr>
          <w:rFonts w:ascii="仿宋" w:hAnsi="仿宋" w:eastAsia="仿宋"/>
          <w:sz w:val="32"/>
          <w:szCs w:val="32"/>
        </w:rPr>
        <w:t>合同编号：LWQZFCG2025-023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.1B3</w:t>
      </w:r>
      <w:bookmarkStart w:id="9" w:name="_GoBack"/>
      <w:bookmarkEnd w:id="9"/>
    </w:p>
    <w:p w14:paraId="22B07E5C">
      <w:pPr>
        <w:autoSpaceDE w:val="0"/>
        <w:autoSpaceDN w:val="0"/>
        <w:adjustRightInd w:val="0"/>
        <w:snapToGrid w:val="0"/>
        <w:spacing w:line="360" w:lineRule="auto"/>
        <w:ind w:firstLine="1680" w:firstLineChars="600"/>
        <w:rPr>
          <w:rFonts w:ascii="仿宋" w:hAnsi="仿宋" w:eastAsia="仿宋"/>
          <w:sz w:val="28"/>
          <w:szCs w:val="28"/>
          <w:lang w:val="zh-CN"/>
        </w:rPr>
      </w:pPr>
    </w:p>
    <w:p w14:paraId="639C106C">
      <w:pPr>
        <w:autoSpaceDE w:val="0"/>
        <w:autoSpaceDN w:val="0"/>
        <w:adjustRightInd w:val="0"/>
        <w:snapToGrid w:val="0"/>
        <w:spacing w:line="360" w:lineRule="auto"/>
        <w:jc w:val="center"/>
        <w:outlineLvl w:val="0"/>
        <w:rPr>
          <w:rFonts w:ascii="宋体" w:hAnsi="宋体"/>
          <w:b/>
          <w:bCs/>
          <w:sz w:val="30"/>
          <w:szCs w:val="30"/>
        </w:rPr>
      </w:pPr>
    </w:p>
    <w:p w14:paraId="7B6CE425">
      <w:pPr>
        <w:jc w:val="center"/>
        <w:rPr>
          <w:rFonts w:ascii="仿宋" w:hAnsi="仿宋" w:eastAsia="仿宋"/>
          <w:b/>
          <w:sz w:val="32"/>
          <w:szCs w:val="32"/>
        </w:rPr>
      </w:pPr>
    </w:p>
    <w:p w14:paraId="483F0D82">
      <w:pPr>
        <w:rPr>
          <w:rFonts w:ascii="仿宋" w:hAnsi="仿宋" w:eastAsia="仿宋"/>
          <w:b/>
        </w:rPr>
      </w:pPr>
    </w:p>
    <w:p w14:paraId="1A6C4CB9">
      <w:pPr>
        <w:rPr>
          <w:rFonts w:ascii="仿宋" w:hAnsi="仿宋" w:eastAsia="仿宋"/>
          <w:b/>
        </w:rPr>
      </w:pPr>
    </w:p>
    <w:p w14:paraId="1E415BCF">
      <w:pPr>
        <w:rPr>
          <w:rFonts w:ascii="仿宋" w:hAnsi="仿宋" w:eastAsia="仿宋"/>
          <w:b/>
        </w:rPr>
      </w:pPr>
    </w:p>
    <w:p w14:paraId="192D1EA4">
      <w:pPr>
        <w:rPr>
          <w:rFonts w:ascii="仿宋" w:hAnsi="仿宋" w:eastAsia="仿宋"/>
          <w:b/>
        </w:rPr>
      </w:pPr>
    </w:p>
    <w:p w14:paraId="363B4F85">
      <w:pPr>
        <w:rPr>
          <w:rFonts w:ascii="仿宋" w:hAnsi="仿宋" w:eastAsia="仿宋"/>
          <w:b/>
          <w:sz w:val="48"/>
          <w:szCs w:val="48"/>
        </w:rPr>
      </w:pPr>
    </w:p>
    <w:p w14:paraId="48C452F0">
      <w:pPr>
        <w:rPr>
          <w:rFonts w:ascii="仿宋" w:hAnsi="仿宋" w:eastAsia="仿宋"/>
          <w:b/>
          <w:sz w:val="48"/>
          <w:szCs w:val="48"/>
        </w:rPr>
      </w:pPr>
    </w:p>
    <w:p w14:paraId="1F503F5A">
      <w:pPr>
        <w:rPr>
          <w:rFonts w:ascii="仿宋" w:hAnsi="仿宋" w:eastAsia="仿宋"/>
          <w:b/>
          <w:sz w:val="48"/>
          <w:szCs w:val="48"/>
        </w:rPr>
      </w:pPr>
    </w:p>
    <w:p w14:paraId="5B10D7D9">
      <w:pPr>
        <w:rPr>
          <w:rFonts w:ascii="仿宋" w:hAnsi="仿宋" w:eastAsia="仿宋"/>
          <w:b/>
          <w:sz w:val="48"/>
          <w:szCs w:val="48"/>
        </w:rPr>
      </w:pPr>
    </w:p>
    <w:p w14:paraId="57AC3E0E">
      <w:pPr>
        <w:spacing w:line="680" w:lineRule="exact"/>
        <w:ind w:firstLine="1908" w:firstLineChars="594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甲  方：渭南市临渭区市场监督管理局</w:t>
      </w:r>
    </w:p>
    <w:p w14:paraId="31BD3B17">
      <w:pPr>
        <w:spacing w:line="680" w:lineRule="exact"/>
        <w:ind w:firstLine="1928" w:firstLineChars="600"/>
        <w:rPr>
          <w:rFonts w:ascii="仿宋" w:hAnsi="仿宋" w:eastAsia="仿宋"/>
          <w:b/>
          <w:sz w:val="48"/>
          <w:szCs w:val="48"/>
        </w:rPr>
      </w:pPr>
      <w:r>
        <w:rPr>
          <w:rFonts w:hint="eastAsia" w:ascii="仿宋" w:hAnsi="仿宋" w:eastAsia="仿宋"/>
          <w:b/>
          <w:sz w:val="32"/>
          <w:szCs w:val="32"/>
        </w:rPr>
        <w:t>乙  方：</w:t>
      </w:r>
    </w:p>
    <w:p w14:paraId="140796D9">
      <w:pPr>
        <w:tabs>
          <w:tab w:val="left" w:pos="1995"/>
        </w:tabs>
        <w:spacing w:line="680" w:lineRule="exact"/>
        <w:ind w:firstLine="1928" w:firstLineChars="6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签订时间：    年    月   日</w:t>
      </w:r>
    </w:p>
    <w:p w14:paraId="4050B444">
      <w:r>
        <w:br w:type="page"/>
      </w:r>
    </w:p>
    <w:p w14:paraId="565596E6">
      <w:pPr>
        <w:spacing w:line="360" w:lineRule="auto"/>
        <w:jc w:val="center"/>
        <w:rPr>
          <w:rFonts w:ascii="仿宋_GB2312" w:eastAsia="仿宋_GB2312"/>
          <w:b/>
          <w:kern w:val="44"/>
          <w:sz w:val="28"/>
          <w:szCs w:val="18"/>
        </w:rPr>
      </w:pPr>
      <w:r>
        <w:rPr>
          <w:rFonts w:hint="eastAsia" w:ascii="宋体" w:hAnsi="宋体" w:eastAsia="宋体" w:cs="宋体"/>
          <w:b/>
          <w:sz w:val="32"/>
          <w:szCs w:val="32"/>
        </w:rPr>
        <w:t>采购合同</w:t>
      </w:r>
    </w:p>
    <w:p w14:paraId="027D98EB">
      <w:pPr>
        <w:widowControl/>
        <w:jc w:val="left"/>
        <w:rPr>
          <w:rFonts w:ascii="仿宋" w:hAnsi="仿宋" w:eastAsia="仿宋" w:cs="仿宋"/>
          <w:color w:val="000000"/>
          <w:kern w:val="0"/>
          <w:sz w:val="28"/>
          <w:szCs w:val="28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zh-CN"/>
        </w:rPr>
        <w:t>甲方：（前款所称采购人）</w:t>
      </w:r>
    </w:p>
    <w:p w14:paraId="7E1ACEC6">
      <w:pPr>
        <w:widowControl/>
        <w:jc w:val="left"/>
        <w:rPr>
          <w:rFonts w:ascii="仿宋" w:hAnsi="仿宋" w:eastAsia="仿宋" w:cs="仿宋"/>
          <w:color w:val="000000"/>
          <w:kern w:val="0"/>
          <w:sz w:val="28"/>
          <w:szCs w:val="28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zh-CN"/>
        </w:rPr>
        <w:t>乙方：（前款所称中标单位）</w:t>
      </w:r>
    </w:p>
    <w:p w14:paraId="4780419B">
      <w:pPr>
        <w:widowControl/>
        <w:jc w:val="left"/>
        <w:rPr>
          <w:rFonts w:ascii="仿宋" w:hAnsi="仿宋" w:eastAsia="仿宋" w:cs="仿宋"/>
          <w:b/>
          <w:bCs/>
          <w:color w:val="000000"/>
          <w:kern w:val="0"/>
          <w:sz w:val="28"/>
          <w:szCs w:val="28"/>
        </w:rPr>
      </w:pPr>
      <w:r>
        <w:rPr>
          <w:rFonts w:ascii="仿宋" w:hAnsi="仿宋" w:eastAsia="仿宋" w:cs="仿宋"/>
          <w:b/>
          <w:bCs/>
          <w:color w:val="000000"/>
          <w:kern w:val="0"/>
          <w:sz w:val="28"/>
          <w:szCs w:val="28"/>
        </w:rPr>
        <w:t xml:space="preserve">一、交货条件 </w:t>
      </w:r>
    </w:p>
    <w:p w14:paraId="1117D2E9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（一）交货地点：采购人指定地点。 </w:t>
      </w:r>
    </w:p>
    <w:p w14:paraId="0DD8CA45">
      <w:pPr>
        <w:widowControl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（二）交货期：</w:t>
      </w:r>
      <w:r>
        <w:rPr>
          <w:rFonts w:hint="eastAsia" w:ascii="仿宋" w:hAnsi="仿宋" w:eastAsia="仿宋" w:cs="仿宋"/>
          <w:sz w:val="30"/>
          <w:szCs w:val="30"/>
        </w:rPr>
        <w:t>7个日历日内完成全部车辆交付。</w:t>
      </w:r>
    </w:p>
    <w:p w14:paraId="16ED31E0">
      <w:pPr>
        <w:widowControl/>
        <w:jc w:val="left"/>
        <w:rPr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（三）质保期：</w:t>
      </w:r>
      <w:bookmarkStart w:id="0" w:name="OLE_LINK10"/>
      <w:bookmarkStart w:id="1" w:name="OLE_LINK11"/>
      <w:r>
        <w:rPr>
          <w:rFonts w:hint="eastAsia" w:ascii="仿宋" w:hAnsi="仿宋" w:eastAsia="仿宋" w:cs="仿宋"/>
          <w:sz w:val="30"/>
          <w:szCs w:val="30"/>
        </w:rPr>
        <w:t>整车质保不低于于六年或十五万公里</w:t>
      </w:r>
      <w:bookmarkEnd w:id="0"/>
      <w:bookmarkEnd w:id="1"/>
      <w:r>
        <w:rPr>
          <w:rFonts w:hint="eastAsia" w:ascii="仿宋" w:hAnsi="仿宋" w:eastAsia="仿宋" w:cs="仿宋"/>
          <w:sz w:val="30"/>
          <w:szCs w:val="30"/>
        </w:rPr>
        <w:t>，三电系统（电池、电机、电控）终身质保</w:t>
      </w:r>
    </w:p>
    <w:p w14:paraId="19D80633">
      <w:pPr>
        <w:widowControl/>
        <w:jc w:val="left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</w:rPr>
        <w:t xml:space="preserve">二、合同价款 </w:t>
      </w:r>
    </w:p>
    <w:p w14:paraId="59BBC464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合同总价一次性包死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包含裸车价、改装费、税费、运输费、上牌费、质保费等全部费用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，不受市场价格变化和其他任何因素的影响。 </w:t>
      </w:r>
    </w:p>
    <w:p w14:paraId="079D2F1D">
      <w:pPr>
        <w:widowControl/>
        <w:jc w:val="left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</w:rPr>
        <w:t xml:space="preserve">三、款项结算 </w:t>
      </w:r>
    </w:p>
    <w:p w14:paraId="6FD934FE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（一）支付方式：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银行转账</w:t>
      </w:r>
    </w:p>
    <w:p w14:paraId="5CDF992F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（二）货币单位：人民币 </w:t>
      </w:r>
    </w:p>
    <w:p w14:paraId="5AE01C74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（三）结算方式： </w:t>
      </w:r>
    </w:p>
    <w:p w14:paraId="3252CDC3">
      <w:pPr>
        <w:widowControl/>
        <w:ind w:firstLine="280" w:firstLineChars="10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bookmarkStart w:id="2" w:name="OLE_LINK20"/>
      <w:bookmarkStart w:id="3" w:name="OLE_LINK19"/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车辆</w:t>
      </w:r>
      <w:bookmarkEnd w:id="2"/>
      <w:bookmarkEnd w:id="3"/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到达采购人指定地点并验收合格后，支付车辆总价款。</w:t>
      </w:r>
    </w:p>
    <w:p w14:paraId="46996901">
      <w:pPr>
        <w:widowControl/>
        <w:jc w:val="left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</w:rPr>
        <w:t xml:space="preserve">四、在签订合同前，中标人应按照招标文件中所有承诺事项要求落实，如未在规定时限内按要求完成所承诺事项的，则视为主动放弃中标资格。 </w:t>
      </w:r>
    </w:p>
    <w:p w14:paraId="6F588510">
      <w:pPr>
        <w:widowControl/>
        <w:jc w:val="left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</w:rPr>
        <w:t xml:space="preserve">五、运输及包装 </w:t>
      </w:r>
    </w:p>
    <w:p w14:paraId="14B18060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（一）运输由中标人负责，运杂费已包含在合同总价内。包括从货物 </w:t>
      </w:r>
    </w:p>
    <w:p w14:paraId="7CAC1494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供应地点运送至交付地点所含的运输费、装卸费、仓储费、保险费等。 </w:t>
      </w:r>
    </w:p>
    <w:p w14:paraId="2798AB18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（二）运输方式由中标人自行选择，但必须保证按期交付。不得断货， </w:t>
      </w:r>
    </w:p>
    <w:p w14:paraId="02E285A1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因断货造成的损失由中标人负责赔偿。 </w:t>
      </w:r>
    </w:p>
    <w:p w14:paraId="539DA6E7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（三）货物到达采购人指定地点后，中标人应按有关技术规程和采购 </w:t>
      </w:r>
    </w:p>
    <w:p w14:paraId="3EF71075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人要求进行存放和保管。</w:t>
      </w:r>
    </w:p>
    <w:p w14:paraId="0C956A60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（四）中标人提供的产品及相关快递服务的包装要求，按照《商品包 </w:t>
      </w:r>
    </w:p>
    <w:p w14:paraId="2CCB5BDD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装政府采购需求标准（试行）》、《快递包装政府采购需求标准（试行）》执行。 </w:t>
      </w:r>
    </w:p>
    <w:p w14:paraId="3CC14A5D">
      <w:pPr>
        <w:widowControl/>
        <w:jc w:val="left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</w:rPr>
        <w:t xml:space="preserve">六、质量保证 </w:t>
      </w:r>
    </w:p>
    <w:p w14:paraId="58A56165">
      <w:pPr>
        <w:widowControl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（一）整车质保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年或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万公里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以中标供应商响应文件为准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，质保期内</w:t>
      </w:r>
    </w:p>
    <w:p w14:paraId="6C58C289">
      <w:pPr>
        <w:widowControl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1、凡正常使用中出现的故障，均由中标供应商负责提供免费检测维修、更换不合格的零部件直至整机（更换的零部件或整机应保证自更换之日起提供相同的质量保证期），若需返厂处理，中标供应商应承担相关费用。同时记录检修情况，并向采购人提供检修报告。</w:t>
      </w:r>
    </w:p>
    <w:p w14:paraId="17DB9003">
      <w:pPr>
        <w:widowControl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2、凡设备发生质量问题或出现其他故障，接到采购人通知后，服务响应时间不超过1小时，2小时内派专业维修人员到达现场，4小时内排除故障。排除故障的期限最长不得超过两个工作日，否则采购人有权指定第三方维修，维修费用由中标供应商承担。</w:t>
      </w:r>
    </w:p>
    <w:p w14:paraId="61B7CD24">
      <w:pPr>
        <w:widowControl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3、免费提供每周7×24小时不间断的电话支持服务，解答用户在使用过程中遇到的问题，及时提出解决问题的建议和对策。</w:t>
      </w:r>
    </w:p>
    <w:p w14:paraId="7F3D86E9">
      <w:pPr>
        <w:widowControl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4、定期派专业维修人员到现场走访，给予检查维护。并向采购人提供巡检单（一式两份，由双方签字确认），内容包含但不限于巡检时间、巡检内容、巡检结果。</w:t>
      </w:r>
    </w:p>
    <w:p w14:paraId="02D73F0F">
      <w:pPr>
        <w:widowControl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5、款项结清前，对所供车辆进行一次全面检测、保养和维护。</w:t>
      </w:r>
    </w:p>
    <w:p w14:paraId="54498AFF">
      <w:pPr>
        <w:widowControl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（二）质保期满后</w:t>
      </w:r>
    </w:p>
    <w:p w14:paraId="70CACD3F">
      <w:pPr>
        <w:widowControl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中标供应商应保证以合理的价格提供维护和保养服务，当发生故障时，中标供应商应按质保期内相同的服务标准进行维护处理。</w:t>
      </w:r>
    </w:p>
    <w:p w14:paraId="7B16729D">
      <w:pPr>
        <w:widowControl/>
        <w:jc w:val="left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</w:rPr>
        <w:t xml:space="preserve">七、验收 </w:t>
      </w:r>
    </w:p>
    <w:p w14:paraId="6335730A">
      <w:pPr>
        <w:widowControl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（一）车辆及其备附件到达采购人指定地点后，采购人根据合同要求，在中标供应商和采购人相关负责人双方同时在场的情况下，进行外观验收，确认产地、规格</w:t>
      </w:r>
      <w:bookmarkStart w:id="4" w:name="OLE_LINK16"/>
      <w:bookmarkStart w:id="5" w:name="OLE_LINK17"/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、</w:t>
      </w:r>
      <w:bookmarkEnd w:id="4"/>
      <w:bookmarkEnd w:id="5"/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型号和数量、车体喷涂及上牌（</w:t>
      </w:r>
      <w:bookmarkStart w:id="6" w:name="OLE_LINK15"/>
      <w:bookmarkStart w:id="7" w:name="OLE_LINK14"/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车身规范粘贴“市场监督管理”制式标识，</w:t>
      </w:r>
      <w:bookmarkStart w:id="8" w:name="OLE_LINK2"/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车体喷涂</w:t>
      </w:r>
      <w:bookmarkEnd w:id="8"/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、字体、尺寸、位置等符合《市场监督管理执法装备配备指南》，粘贴平整、不易脱落）。</w:t>
      </w:r>
    </w:p>
    <w:bookmarkEnd w:id="6"/>
    <w:bookmarkEnd w:id="7"/>
    <w:p w14:paraId="4C0E78DC">
      <w:pPr>
        <w:widowControl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必要时采购人可委托具有相关资质的第三方检测机构/技术专家对车辆进行验收，需要国家法定检验部门进行检验或验收的由中标供应商负责联系）。验收合格后，填写政府采购项目验收单作为对车辆的最终认可。</w:t>
      </w:r>
    </w:p>
    <w:p w14:paraId="5E1E19D3">
      <w:pPr>
        <w:widowControl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（二）验收依据</w:t>
      </w:r>
    </w:p>
    <w:p w14:paraId="0F5A8952">
      <w:pPr>
        <w:widowControl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1、招标文件、投标文件；</w:t>
      </w:r>
    </w:p>
    <w:p w14:paraId="4247288B">
      <w:pPr>
        <w:widowControl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2、本合同及附件文本；</w:t>
      </w:r>
    </w:p>
    <w:p w14:paraId="67E9529B">
      <w:pPr>
        <w:widowControl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3、合同签订时国家及行业现行的标准和技术规范。</w:t>
      </w:r>
    </w:p>
    <w:p w14:paraId="1EF5D659">
      <w:pPr>
        <w:widowControl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（三）中标供应商应向采购人提交项目实施过程中的所有资料，以便采购人日后管理和维护。</w:t>
      </w:r>
    </w:p>
    <w:p w14:paraId="17FF55DB">
      <w:pPr>
        <w:widowControl/>
        <w:jc w:val="left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</w:rPr>
        <w:t xml:space="preserve">八、违约责任 </w:t>
      </w:r>
    </w:p>
    <w:p w14:paraId="44AD809C">
      <w:pPr>
        <w:widowControl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（一）按《中华人民共和国民法典》中的相关条款执行。 </w:t>
      </w:r>
    </w:p>
    <w:p w14:paraId="3E14DD11">
      <w:pPr>
        <w:widowControl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（二）未按合同要求提供服务或服务质量不能满足合同要求，采购人有权依据《中华人民共和国民法典》有关条款及合同约定终止合同，并要求中标人承担违约责任。 </w:t>
      </w:r>
    </w:p>
    <w:p w14:paraId="2B01C105">
      <w:pPr>
        <w:widowControl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（三）中标人未按合同约定的交货日期交货的，每逾期一日，向采购人支付逾期交付货物价款的 2%的违约金，但不超过合同总金额的10%。中标人支付逾期交货违约金并不免除其交货的责任。 </w:t>
      </w:r>
    </w:p>
    <w:p w14:paraId="2B837668">
      <w:pPr>
        <w:widowControl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如中标人在政府采购合同规定的交货日期后 10 天内仍未能交货，则视为中标人不能交货，采购人有权解除政府采购合同，中标人除退还已收取的货款外，还应向采购人偿付政府采购合同总金额 10%的违约金，并承担由此给采购人造成的一切损失。 </w:t>
      </w:r>
    </w:p>
    <w:p w14:paraId="021894B5">
      <w:pPr>
        <w:widowControl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（四）中标人所交付货物不符合其投标承诺，存在偷工减料、以次充好情形的，采购人要求更换一次后仍不符合约定的，采购人有权解除政府采购合同，并将有关情况上报政府采购监管部门处理。 </w:t>
      </w:r>
    </w:p>
    <w:p w14:paraId="0D6BFBD0">
      <w:pPr>
        <w:widowControl/>
        <w:jc w:val="left"/>
      </w:pPr>
      <w:r>
        <w:rPr>
          <w:rFonts w:hint="eastAsia" w:ascii="华文仿宋" w:hAnsi="华文仿宋" w:eastAsia="华文仿宋" w:cs="华文仿宋"/>
          <w:b/>
          <w:bCs/>
          <w:color w:val="000000"/>
          <w:kern w:val="0"/>
          <w:sz w:val="28"/>
          <w:szCs w:val="28"/>
        </w:rPr>
        <w:t xml:space="preserve">九、采购人与中标人的权利义务 </w:t>
      </w:r>
    </w:p>
    <w:p w14:paraId="05955407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（一）采购人的权利与义务 </w:t>
      </w:r>
    </w:p>
    <w:p w14:paraId="767C23D4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1、按合同支付货款或服务费用。 </w:t>
      </w:r>
    </w:p>
    <w:p w14:paraId="1F265286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2、提供必要的安装、调试条件。 </w:t>
      </w:r>
    </w:p>
    <w:p w14:paraId="379C0DB4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3、及时验收设备并在约定期限内反馈质量问题。 </w:t>
      </w:r>
    </w:p>
    <w:p w14:paraId="1C54AABF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4、合理使用设备，非乙方原因导致的损坏自行承担维修责任。 </w:t>
      </w:r>
    </w:p>
    <w:p w14:paraId="2D87ECD4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（二）中标人的权利与义务 </w:t>
      </w:r>
    </w:p>
    <w:p w14:paraId="3190CF54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1、按约定时间、质量、数量交付设备，并提供合格证明、技术文件等。 </w:t>
      </w:r>
    </w:p>
    <w:p w14:paraId="13D8556D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2、提供设备安装、调试、培训等技术支持。 </w:t>
      </w:r>
    </w:p>
    <w:p w14:paraId="0073BEEC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3、保修期内对设备质量问题免费维修或更换。 </w:t>
      </w:r>
    </w:p>
    <w:p w14:paraId="051273A6">
      <w:pPr>
        <w:widowControl/>
        <w:jc w:val="left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</w:rPr>
        <w:t xml:space="preserve">十、争议解决 </w:t>
      </w:r>
    </w:p>
    <w:p w14:paraId="6F4703B3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执行本合同中产生纠纷，由采购人与中标人双方协商解决；协商不成， </w:t>
      </w:r>
    </w:p>
    <w:p w14:paraId="4AFAB1BE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向有管辖权的人民法院提起诉讼。 </w:t>
      </w:r>
    </w:p>
    <w:p w14:paraId="09E20B96">
      <w:pPr>
        <w:widowControl/>
        <w:jc w:val="left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</w:rPr>
        <w:t xml:space="preserve">十一、合同生效及其他 </w:t>
      </w:r>
    </w:p>
    <w:p w14:paraId="2E799DE0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1、本合同自签订之日起生效。 </w:t>
      </w:r>
    </w:p>
    <w:p w14:paraId="0A4BE676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2、合同份数由采购人和中标人具体商定。 </w:t>
      </w:r>
    </w:p>
    <w:p w14:paraId="683D91B2">
      <w:pPr>
        <w:widowControl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3、未尽事宜由双方在签订合同时具体明确。 </w:t>
      </w:r>
    </w:p>
    <w:p w14:paraId="7A84E91A">
      <w:pPr>
        <w:tabs>
          <w:tab w:val="left" w:pos="1155"/>
        </w:tabs>
        <w:spacing w:line="360" w:lineRule="auto"/>
        <w:rPr>
          <w:rFonts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</w:rPr>
        <w:t>4、</w:t>
      </w:r>
      <w:r>
        <w:rPr>
          <w:rFonts w:hint="eastAsia" w:ascii="仿宋" w:hAnsi="仿宋" w:eastAsia="仿宋"/>
          <w:sz w:val="28"/>
          <w:szCs w:val="28"/>
          <w:lang w:val="zh-CN"/>
        </w:rPr>
        <w:t>合同正本一式4份，采购人、成交供应商、</w:t>
      </w:r>
      <w:r>
        <w:rPr>
          <w:rFonts w:hint="eastAsia" w:ascii="仿宋" w:hAnsi="仿宋" w:eastAsia="仿宋"/>
          <w:sz w:val="28"/>
          <w:szCs w:val="28"/>
        </w:rPr>
        <w:t>政府采购中心</w:t>
      </w:r>
      <w:r>
        <w:rPr>
          <w:rFonts w:hint="eastAsia" w:ascii="仿宋" w:hAnsi="仿宋" w:eastAsia="仿宋"/>
          <w:sz w:val="28"/>
          <w:szCs w:val="28"/>
          <w:lang w:val="zh-CN"/>
        </w:rPr>
        <w:t>各执一份，政府采购监督管理机关备案执一份。</w:t>
      </w:r>
    </w:p>
    <w:tbl>
      <w:tblPr>
        <w:tblStyle w:val="3"/>
        <w:tblW w:w="8206" w:type="dxa"/>
        <w:tblInd w:w="1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7"/>
        <w:gridCol w:w="4099"/>
      </w:tblGrid>
      <w:tr w14:paraId="2D0D9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07" w:type="dxa"/>
            <w:noWrap/>
          </w:tcPr>
          <w:p w14:paraId="13D77D12">
            <w:pPr>
              <w:spacing w:line="44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甲  方</w:t>
            </w:r>
          </w:p>
        </w:tc>
        <w:tc>
          <w:tcPr>
            <w:tcW w:w="4099" w:type="dxa"/>
            <w:noWrap/>
          </w:tcPr>
          <w:p w14:paraId="4F823261">
            <w:pPr>
              <w:spacing w:line="44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乙  方</w:t>
            </w:r>
          </w:p>
        </w:tc>
      </w:tr>
      <w:tr w14:paraId="0748D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07" w:type="dxa"/>
            <w:noWrap/>
            <w:vAlign w:val="center"/>
          </w:tcPr>
          <w:p w14:paraId="56AFC444">
            <w:pPr>
              <w:spacing w:line="300" w:lineRule="exact"/>
              <w:jc w:val="center"/>
              <w:rPr>
                <w:rFonts w:ascii="仿宋" w:hAnsi="仿宋" w:eastAsia="仿宋"/>
                <w:szCs w:val="21"/>
              </w:rPr>
            </w:pPr>
          </w:p>
          <w:p w14:paraId="180D5D88">
            <w:pPr>
              <w:spacing w:line="300" w:lineRule="exact"/>
              <w:jc w:val="center"/>
              <w:rPr>
                <w:rFonts w:ascii="仿宋" w:hAnsi="仿宋" w:eastAsia="仿宋"/>
                <w:szCs w:val="21"/>
              </w:rPr>
            </w:pPr>
          </w:p>
          <w:p w14:paraId="01CD6505">
            <w:pPr>
              <w:spacing w:line="3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采购人名称</w:t>
            </w:r>
          </w:p>
          <w:p w14:paraId="4810DFBE">
            <w:pPr>
              <w:spacing w:line="3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（盖章）</w:t>
            </w:r>
          </w:p>
          <w:p w14:paraId="56C42E5E">
            <w:pPr>
              <w:spacing w:line="300" w:lineRule="exact"/>
              <w:jc w:val="center"/>
              <w:rPr>
                <w:rFonts w:ascii="仿宋" w:hAnsi="仿宋" w:eastAsia="仿宋"/>
                <w:szCs w:val="21"/>
              </w:rPr>
            </w:pPr>
          </w:p>
          <w:p w14:paraId="09685713">
            <w:pPr>
              <w:spacing w:line="3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4099" w:type="dxa"/>
            <w:noWrap/>
            <w:vAlign w:val="center"/>
          </w:tcPr>
          <w:p w14:paraId="0387CD96">
            <w:pPr>
              <w:spacing w:line="300" w:lineRule="exact"/>
              <w:jc w:val="center"/>
              <w:rPr>
                <w:rFonts w:ascii="仿宋" w:hAnsi="仿宋" w:eastAsia="仿宋"/>
                <w:szCs w:val="21"/>
              </w:rPr>
            </w:pPr>
          </w:p>
          <w:p w14:paraId="0A59BDF2">
            <w:pPr>
              <w:spacing w:line="300" w:lineRule="exact"/>
              <w:jc w:val="center"/>
              <w:rPr>
                <w:rFonts w:ascii="仿宋" w:hAnsi="仿宋" w:eastAsia="仿宋"/>
                <w:szCs w:val="21"/>
              </w:rPr>
            </w:pPr>
          </w:p>
          <w:p w14:paraId="08838CCB">
            <w:pPr>
              <w:spacing w:line="3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中标供应商全称</w:t>
            </w:r>
          </w:p>
          <w:p w14:paraId="10F50A9A">
            <w:pPr>
              <w:spacing w:line="3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（盖章）</w:t>
            </w:r>
          </w:p>
          <w:p w14:paraId="58ED03E6">
            <w:pPr>
              <w:spacing w:line="300" w:lineRule="exact"/>
              <w:jc w:val="center"/>
              <w:rPr>
                <w:rFonts w:ascii="仿宋" w:hAnsi="仿宋" w:eastAsia="仿宋"/>
                <w:szCs w:val="21"/>
              </w:rPr>
            </w:pPr>
          </w:p>
          <w:p w14:paraId="5AE56955">
            <w:pPr>
              <w:spacing w:line="3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5F624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07" w:type="dxa"/>
            <w:noWrap/>
          </w:tcPr>
          <w:p w14:paraId="5F7D22A3">
            <w:pPr>
              <w:spacing w:line="44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地址： </w:t>
            </w:r>
          </w:p>
          <w:p w14:paraId="67C62130">
            <w:pPr>
              <w:spacing w:line="440" w:lineRule="exac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4099" w:type="dxa"/>
            <w:noWrap/>
          </w:tcPr>
          <w:p w14:paraId="4E112C07">
            <w:pPr>
              <w:spacing w:line="44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地址：</w:t>
            </w:r>
          </w:p>
        </w:tc>
      </w:tr>
      <w:tr w14:paraId="10C24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07" w:type="dxa"/>
            <w:noWrap/>
          </w:tcPr>
          <w:p w14:paraId="7C43BBF1">
            <w:pPr>
              <w:spacing w:line="44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邮编：</w:t>
            </w:r>
          </w:p>
          <w:p w14:paraId="6761B3B3">
            <w:pPr>
              <w:spacing w:line="440" w:lineRule="exact"/>
              <w:rPr>
                <w:rFonts w:ascii="仿宋" w:hAnsi="仿宋" w:eastAsia="仿宋"/>
              </w:rPr>
            </w:pPr>
          </w:p>
        </w:tc>
        <w:tc>
          <w:tcPr>
            <w:tcW w:w="4099" w:type="dxa"/>
            <w:noWrap/>
          </w:tcPr>
          <w:p w14:paraId="63673EA3">
            <w:pPr>
              <w:spacing w:line="44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szCs w:val="21"/>
              </w:rPr>
              <w:t>邮编：</w:t>
            </w:r>
          </w:p>
        </w:tc>
      </w:tr>
      <w:tr w14:paraId="2E12C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3" w:hRule="atLeast"/>
        </w:trPr>
        <w:tc>
          <w:tcPr>
            <w:tcW w:w="4107" w:type="dxa"/>
            <w:noWrap/>
          </w:tcPr>
          <w:p w14:paraId="556185B2">
            <w:pPr>
              <w:spacing w:line="44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法定代表人： </w:t>
            </w:r>
          </w:p>
        </w:tc>
        <w:tc>
          <w:tcPr>
            <w:tcW w:w="4099" w:type="dxa"/>
            <w:noWrap/>
          </w:tcPr>
          <w:p w14:paraId="305D3E95">
            <w:pPr>
              <w:spacing w:line="44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szCs w:val="21"/>
              </w:rPr>
              <w:t>法定代表人：</w:t>
            </w:r>
          </w:p>
        </w:tc>
      </w:tr>
      <w:tr w14:paraId="169F3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</w:trPr>
        <w:tc>
          <w:tcPr>
            <w:tcW w:w="4107" w:type="dxa"/>
            <w:noWrap/>
          </w:tcPr>
          <w:p w14:paraId="73453B7D">
            <w:pPr>
              <w:spacing w:line="44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被授权代表：（签字）</w:t>
            </w:r>
          </w:p>
          <w:p w14:paraId="591AC3CA">
            <w:pPr>
              <w:spacing w:line="440" w:lineRule="exact"/>
              <w:rPr>
                <w:rFonts w:ascii="仿宋" w:hAnsi="仿宋" w:eastAsia="仿宋"/>
              </w:rPr>
            </w:pPr>
          </w:p>
        </w:tc>
        <w:tc>
          <w:tcPr>
            <w:tcW w:w="4099" w:type="dxa"/>
            <w:noWrap/>
          </w:tcPr>
          <w:p w14:paraId="74E3CD22">
            <w:pPr>
              <w:spacing w:line="44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szCs w:val="21"/>
              </w:rPr>
              <w:t>被授权代表：（签字）</w:t>
            </w:r>
          </w:p>
        </w:tc>
      </w:tr>
      <w:tr w14:paraId="17D85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07" w:type="dxa"/>
            <w:noWrap/>
          </w:tcPr>
          <w:p w14:paraId="02F1FDB0">
            <w:pPr>
              <w:spacing w:line="44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电话：</w:t>
            </w:r>
          </w:p>
        </w:tc>
        <w:tc>
          <w:tcPr>
            <w:tcW w:w="4099" w:type="dxa"/>
            <w:noWrap/>
          </w:tcPr>
          <w:p w14:paraId="74DC2722">
            <w:pPr>
              <w:spacing w:line="44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szCs w:val="21"/>
              </w:rPr>
              <w:t>电话：</w:t>
            </w:r>
          </w:p>
        </w:tc>
      </w:tr>
      <w:tr w14:paraId="04DB0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07" w:type="dxa"/>
            <w:noWrap/>
          </w:tcPr>
          <w:p w14:paraId="63E5F3ED">
            <w:pPr>
              <w:spacing w:line="44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传真：</w:t>
            </w:r>
          </w:p>
        </w:tc>
        <w:tc>
          <w:tcPr>
            <w:tcW w:w="4099" w:type="dxa"/>
            <w:noWrap/>
          </w:tcPr>
          <w:p w14:paraId="0C93FCBC">
            <w:pPr>
              <w:spacing w:line="44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szCs w:val="21"/>
              </w:rPr>
              <w:t>传真：</w:t>
            </w:r>
          </w:p>
        </w:tc>
      </w:tr>
      <w:tr w14:paraId="7885D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07" w:type="dxa"/>
            <w:noWrap/>
          </w:tcPr>
          <w:p w14:paraId="58F72A96">
            <w:pPr>
              <w:spacing w:line="440" w:lineRule="exact"/>
              <w:rPr>
                <w:rFonts w:ascii="仿宋" w:hAnsi="仿宋" w:eastAsia="仿宋"/>
              </w:rPr>
            </w:pPr>
          </w:p>
        </w:tc>
        <w:tc>
          <w:tcPr>
            <w:tcW w:w="4099" w:type="dxa"/>
            <w:noWrap/>
          </w:tcPr>
          <w:p w14:paraId="600E3AAF">
            <w:pPr>
              <w:spacing w:line="44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szCs w:val="21"/>
              </w:rPr>
              <w:t>开户银行：</w:t>
            </w:r>
          </w:p>
        </w:tc>
      </w:tr>
      <w:tr w14:paraId="4E591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4107" w:type="dxa"/>
            <w:noWrap/>
          </w:tcPr>
          <w:p w14:paraId="33E011A7">
            <w:pPr>
              <w:spacing w:line="440" w:lineRule="exact"/>
              <w:rPr>
                <w:rFonts w:ascii="仿宋" w:hAnsi="仿宋" w:eastAsia="仿宋"/>
              </w:rPr>
            </w:pPr>
          </w:p>
        </w:tc>
        <w:tc>
          <w:tcPr>
            <w:tcW w:w="4099" w:type="dxa"/>
            <w:noWrap/>
          </w:tcPr>
          <w:p w14:paraId="60A3EAF2">
            <w:pPr>
              <w:spacing w:line="44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帐号：</w:t>
            </w:r>
          </w:p>
        </w:tc>
      </w:tr>
      <w:tr w14:paraId="194FC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07" w:type="dxa"/>
            <w:noWrap/>
          </w:tcPr>
          <w:p w14:paraId="6202D6A0">
            <w:pPr>
              <w:spacing w:line="44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日期：   年   月   日</w:t>
            </w:r>
          </w:p>
          <w:p w14:paraId="3EBDCFDF">
            <w:pPr>
              <w:spacing w:line="440" w:lineRule="exact"/>
              <w:rPr>
                <w:rFonts w:ascii="仿宋" w:hAnsi="仿宋" w:eastAsia="仿宋"/>
              </w:rPr>
            </w:pPr>
          </w:p>
        </w:tc>
        <w:tc>
          <w:tcPr>
            <w:tcW w:w="4099" w:type="dxa"/>
            <w:noWrap/>
          </w:tcPr>
          <w:p w14:paraId="043C3D73">
            <w:pPr>
              <w:spacing w:line="440" w:lineRule="exac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szCs w:val="21"/>
              </w:rPr>
              <w:t>日期：   年   月   日</w:t>
            </w:r>
          </w:p>
        </w:tc>
      </w:tr>
    </w:tbl>
    <w:p w14:paraId="6E9FD4EB">
      <w:pPr>
        <w:spacing w:line="500" w:lineRule="exact"/>
        <w:rPr>
          <w:rFonts w:ascii="仿宋_GB2312" w:hAnsi="仿宋_GB2312" w:eastAsia="仿宋_GB2312" w:cs="仿宋_GB2312"/>
          <w:b/>
          <w:sz w:val="36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备注：以上合同条款中，甲方为采购人，乙方为中标供应商。</w:t>
      </w:r>
    </w:p>
    <w:p w14:paraId="4B601E42">
      <w:pPr>
        <w:pStyle w:val="5"/>
        <w:jc w:val="center"/>
        <w:outlineLvl w:val="1"/>
        <w:rPr>
          <w:rFonts w:hint="default" w:ascii="仿宋_GB2312" w:hAnsi="仿宋_GB2312" w:eastAsia="仿宋_GB2312" w:cs="仿宋_GB2312"/>
          <w:b/>
          <w:sz w:val="36"/>
        </w:rPr>
      </w:pPr>
    </w:p>
    <w:p w14:paraId="1B6A4B2E">
      <w:pPr>
        <w:pStyle w:val="5"/>
        <w:jc w:val="center"/>
        <w:outlineLvl w:val="1"/>
        <w:rPr>
          <w:rFonts w:hint="default" w:ascii="仿宋_GB2312" w:hAnsi="仿宋_GB2312" w:eastAsia="仿宋_GB2312" w:cs="仿宋_GB2312"/>
          <w:b/>
          <w:sz w:val="36"/>
        </w:rPr>
      </w:pPr>
    </w:p>
    <w:p w14:paraId="3884B9C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3617BE"/>
    <w:rsid w:val="3634453A"/>
    <w:rsid w:val="3E4A146B"/>
    <w:rsid w:val="6286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2161</Words>
  <Characters>2182</Characters>
  <Lines>0</Lines>
  <Paragraphs>0</Paragraphs>
  <TotalTime>2</TotalTime>
  <ScaleCrop>false</ScaleCrop>
  <LinksUpToDate>false</LinksUpToDate>
  <CharactersWithSpaces>2256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2025-12-24T06:59:00Z</dcterms:created>
  <dc:creator>6</dc:creator>
  <cp:lastModifiedBy>南柯一梦</cp:lastModifiedBy>
  <dcterms:modified xsi:type="dcterms:W3CDTF">2026-06-16T01:33:57Z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eyJoZGlkIjoiNDAwNzMzYzc2MWY0NDI5NDkyODRmODQ2YjhlYzI1ZWMiLCJ1c2VySWQiOiI1NDExODg2NzgifQ==</vt:lpwstr>
  </property>
  <property fmtid="{D5CDD505-2E9C-101B-9397-08002B2CF9AE}" pid="4" name="ICV">
    <vt:lpwstr>A3028CE15D1F4B088B6F57BBC457F61B_13</vt:lpwstr>
  </property>
</Properties>
</file>