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版本号：ZCSP-渭南高新区-2026-0002920260730001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2026年度渭南高新区良田街道上庄村冷库配套提升项目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ZCSP-渭南高新区-2026-00029</w:t>
      </w:r>
      <w:r>
        <w:br/>
      </w:r>
      <w:r>
        <w:br/>
      </w:r>
      <w:r>
        <w:br/>
      </w:r>
    </w:p>
    <w:p>
      <w:pPr>
        <w:pStyle w:val="null3"/>
        <w:jc w:val="center"/>
        <w:outlineLvl w:val="2"/>
      </w:pPr>
      <w:r>
        <w:rPr>
          <w:rFonts w:ascii="仿宋_GB2312" w:hAnsi="仿宋_GB2312" w:cs="仿宋_GB2312" w:eastAsia="仿宋_GB2312"/>
          <w:sz w:val="28"/>
          <w:b/>
        </w:rPr>
        <w:t>渭南高新区良田街道办事处</w:t>
      </w:r>
    </w:p>
    <w:p>
      <w:pPr>
        <w:pStyle w:val="null3"/>
        <w:jc w:val="center"/>
        <w:outlineLvl w:val="2"/>
      </w:pPr>
      <w:r>
        <w:rPr>
          <w:rFonts w:ascii="仿宋_GB2312" w:hAnsi="仿宋_GB2312" w:cs="仿宋_GB2312" w:eastAsia="仿宋_GB2312"/>
          <w:sz w:val="28"/>
          <w:b/>
        </w:rPr>
        <w:t>新瑞建设有限公司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新瑞建设有限公司</w:t>
      </w:r>
      <w:r>
        <w:rPr>
          <w:rFonts w:ascii="仿宋_GB2312" w:hAnsi="仿宋_GB2312" w:cs="仿宋_GB2312" w:eastAsia="仿宋_GB2312"/>
        </w:rPr>
        <w:t>（以下简称“代理机构”）受</w:t>
      </w:r>
      <w:r>
        <w:rPr>
          <w:rFonts w:ascii="仿宋_GB2312" w:hAnsi="仿宋_GB2312" w:cs="仿宋_GB2312" w:eastAsia="仿宋_GB2312"/>
        </w:rPr>
        <w:t>渭南高新区良田街道办事处</w:t>
      </w:r>
      <w:r>
        <w:rPr>
          <w:rFonts w:ascii="仿宋_GB2312" w:hAnsi="仿宋_GB2312" w:cs="仿宋_GB2312" w:eastAsia="仿宋_GB2312"/>
        </w:rPr>
        <w:t>委托，拟对</w:t>
      </w:r>
      <w:r>
        <w:rPr>
          <w:rFonts w:ascii="仿宋_GB2312" w:hAnsi="仿宋_GB2312" w:cs="仿宋_GB2312" w:eastAsia="仿宋_GB2312"/>
        </w:rPr>
        <w:t>2026年度渭南高新区良田街道上庄村冷库配套提升项目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ZCSP-渭南高新区-2026-00029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2026年度渭南高新区良田街道上庄村冷库配套提升项目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新建100吨地磅一套、场地硬化1054㎡、附属用房（砖混结构13.74㎡）、新建排水沟94米，DN400HDPE双壁波纹管20米及其他附属设施。配套采购电动叉车、铁架筐子及木板托盘等。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采购包1（2026年度渭南高新区良田街道上庄村冷库配套提升项目）：属于专门面向中小企业采购。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1、企业资质：供应商须具备建筑工程施工总承包三级（含三级）及以上资质，并具有有效的安全生产许可证；</w:t>
      </w:r>
    </w:p>
    <w:p>
      <w:pPr>
        <w:pStyle w:val="null3"/>
      </w:pPr>
      <w:r>
        <w:rPr>
          <w:rFonts w:ascii="仿宋_GB2312" w:hAnsi="仿宋_GB2312" w:cs="仿宋_GB2312" w:eastAsia="仿宋_GB2312"/>
        </w:rPr>
        <w:t>2、项目经理：拟派项目经理须具有建筑工程二级（含二级）及以上注册建造师资格并具有有效的安全生产考核合格证，且无在建工程；</w:t>
      </w:r>
    </w:p>
    <w:p>
      <w:pPr>
        <w:pStyle w:val="null3"/>
      </w:pPr>
      <w:r>
        <w:rPr>
          <w:rFonts w:ascii="仿宋_GB2312" w:hAnsi="仿宋_GB2312" w:cs="仿宋_GB2312" w:eastAsia="仿宋_GB2312"/>
        </w:rPr>
        <w:t>3、法定代表人身份证明书/法定代表人授权书：法定代表人参与磋商时需提供法定代表人身份证明书；被授权人参与磋商时需提供法定代表人身份证明书及法定代表人授权委托书；</w:t>
      </w:r>
    </w:p>
    <w:p>
      <w:pPr>
        <w:pStyle w:val="null3"/>
      </w:pPr>
      <w:r>
        <w:rPr>
          <w:rFonts w:ascii="仿宋_GB2312" w:hAnsi="仿宋_GB2312" w:cs="仿宋_GB2312" w:eastAsia="仿宋_GB2312"/>
        </w:rPr>
        <w:t>4、磋商保证金：磋商保证金交纳凭证</w:t>
      </w:r>
    </w:p>
    <w:p>
      <w:pPr>
        <w:pStyle w:val="null3"/>
      </w:pPr>
      <w:r>
        <w:rPr>
          <w:rFonts w:ascii="仿宋_GB2312" w:hAnsi="仿宋_GB2312" w:cs="仿宋_GB2312" w:eastAsia="仿宋_GB2312"/>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渭南高新区良田街道办事处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渭南高新区朝阳大街西段25号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0913-8161367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新瑞建设有限公司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陕西省渭南市临渭区解放路北段渭河大街东段南侧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董鹏飞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0913-2136088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高新区政府采购管理股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贺小静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18691396808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采购包1保证金金额：7,200.00元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开户名称：新瑞建设有限公司</w:t>
            </w:r>
          </w:p>
          <w:p>
            <w:pPr>
              <w:pStyle w:val="null3"/>
            </w:pPr>
            <w:r>
              <w:rPr>
                <w:rFonts w:ascii="仿宋_GB2312" w:hAnsi="仿宋_GB2312" w:cs="仿宋_GB2312" w:eastAsia="仿宋_GB2312"/>
              </w:rPr>
              <w:t>开户银行：中国工商银行渭南乐天花园支行（行号：102797050086）</w:t>
            </w:r>
          </w:p>
          <w:p>
            <w:pPr>
              <w:pStyle w:val="null3"/>
            </w:pPr>
            <w:r>
              <w:rPr>
                <w:rFonts w:ascii="仿宋_GB2312" w:hAnsi="仿宋_GB2312" w:cs="仿宋_GB2312" w:eastAsia="仿宋_GB2312"/>
              </w:rPr>
              <w:t>银行账号：2605041319200030511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渭南高新区良田街道办事处</w:t>
      </w:r>
      <w:r>
        <w:rPr>
          <w:rFonts w:ascii="仿宋_GB2312" w:hAnsi="仿宋_GB2312" w:cs="仿宋_GB2312" w:eastAsia="仿宋_GB2312"/>
        </w:rPr>
        <w:t>和</w:t>
      </w:r>
      <w:r>
        <w:rPr>
          <w:rFonts w:ascii="仿宋_GB2312" w:hAnsi="仿宋_GB2312" w:cs="仿宋_GB2312" w:eastAsia="仿宋_GB2312"/>
        </w:rPr>
        <w:t>新瑞建设有限公司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渭南高新区良田街道办事处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新瑞建设有限公司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渭南高新区良田街道办事处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新瑞建设有限公司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1、本工程应按工程量清单及磋商文件全部内容完成。 2、本工程验收标准应符合国家相关工程管理规定及行业标准。 3、依据磋商文件及成交人响应文件及签证单等文件内容进行验收。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联系人：董鹏飞</w:t>
      </w:r>
    </w:p>
    <w:p>
      <w:pPr>
        <w:pStyle w:val="null3"/>
      </w:pPr>
      <w:r>
        <w:rPr>
          <w:rFonts w:ascii="仿宋_GB2312" w:hAnsi="仿宋_GB2312" w:cs="仿宋_GB2312" w:eastAsia="仿宋_GB2312"/>
        </w:rPr>
        <w:t>联系电话：0913-2136088</w:t>
      </w:r>
    </w:p>
    <w:p>
      <w:pPr>
        <w:pStyle w:val="null3"/>
      </w:pPr>
      <w:r>
        <w:rPr>
          <w:rFonts w:ascii="仿宋_GB2312" w:hAnsi="仿宋_GB2312" w:cs="仿宋_GB2312" w:eastAsia="仿宋_GB2312"/>
        </w:rPr>
        <w:t>地址：陕西省渭南市临渭区解放路北段渭河大街东段南侧</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785,000.00</w:t>
      </w:r>
    </w:p>
    <w:p>
      <w:pPr>
        <w:pStyle w:val="null3"/>
      </w:pPr>
      <w:r>
        <w:rPr>
          <w:rFonts w:ascii="仿宋_GB2312" w:hAnsi="仿宋_GB2312" w:cs="仿宋_GB2312" w:eastAsia="仿宋_GB2312"/>
        </w:rPr>
        <w:t>采购包最高限价（元）: 725,808.82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2026年度渭南高新区良田街道上庄村冷库配套提升项目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785,000.00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标的名称：2026年度渭南高新区良田街道上庄村冷库配套提升项目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新建100吨地磅一套、场地硬化1054㎡、附属用房（砖混结构13.74㎡）、新建排水沟94米，DN400HDPE双壁波纹管20米及其他附属设施。配套采购电动叉车、铁架筐子及木板托盘等。</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相关的国家现行有关设计规范、规程和地方法规、标准。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130日历天。（2）工程地点：良田街道上庄村。（3）质量标准：合格。（4）质保期：自验收合格之日起一年。（5）付款方式：本工程进度付款依据工程进度按比例将进度应付款支付给供应商。工程完工后，进度款拨付至供应商合同总金额的90%；本工程竣工验收后需要进行结算审计，最终的结算审定金额为本工程的最终合同价款；工程结算审计后采购人付清剩余价款。（6）本项目担任项目经理的建造师、项目技术负责人、施工员、专职安全员、质量员、材料员等施工现场关键岗位人员，必须与响应文件中载明的人员保持一致。本项目建设工期内实行实名考勤制度，所有关键岗位人员须严格按项目要求驻场履职。若违反上述要求，将依据住建部及陕西省住建厅《关于对全省建筑施工现场关键岗位人员实施实名制管理的通知》（陕建发〔2014〕194号）等相关规定，采购人将上报住建主管部门处理，直至解除施工合同，并依法追究相关单位及人员的责任。</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预算编制费：按照陕价行发[2014]88号文件规定计取；由中标（成交）供应商支付。2.中标（成交）供应商在中标（成交）结果公告发布后3个工作日内提供叁套纸质投标文件（经编标工具生成的文件直接打印），递交的纸质版文件内容确保与线上电子文件保持一致，不允许修改和补充。 3.中标（成交）供应商在中标（成交）结果公告发布后3个工作日内向采购人提交最终版《工程量清单表》，供应商最终版《工程量清单表》中的总报价应与最终磋商总报价保持一致。 4.关于印发中小企业划型标准规定的通知（工信部联企业〔2011〕300号），中小企业划型标准规定：（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须提供合法有效，具有独立承担民事责任能力的证明资料。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具有财务审计资质单位出具的2025年度财务审计报告（成立时间至开标时间不足一年的可提供成立后任意时段的资产负债表）或响应文件递交截止时间前六个月内其基本账户银行出具的资信证明（附基本账户证明）或政府采购信用担保机构出具的投标担保函； 税收缴纳证明：提供响应文件递交截止时间前一年内任意一个月的缴费凭据；依法免税的应提供相关文件证明； 社会保障资金缴纳证明：提供响应文件递交截止时间前一年内任意一个月的社保缴费凭据或社保机构开具的社会保险参保缴费情况证明；依法不需要缴纳社会保障资金的供应商应提供相关文件证明； 注：按照陕西省财政厅关于进一步优化政府采购营商环境有关事项的通知（陕财办采〔2023〕4号）中对供应商参与政府采购活动建立“承诺+信用管理”的准入管理制度要求，以上三项内容可根据本磋商文件格式要求出具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供应商须具备建筑工程施工总承包三级（含三级）及以上资质，并具有有效的安全生产许可证；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拟派项目经理须具有建筑工程二级（含二级）及以上注册建造师资格并具有有效的安全生产考核合格证，且无在建工程；</w:t>
            </w:r>
          </w:p>
        </w:tc>
        <w:tc>
          <w:tcPr>
            <w:tcW w:type="dxa" w:w="1661"/>
          </w:tcPr>
          <w:p>
            <w:pPr>
              <w:pStyle w:val="null3"/>
            </w:pPr>
            <w:r>
              <w:rPr>
                <w:rFonts w:ascii="仿宋_GB2312" w:hAnsi="仿宋_GB2312" w:cs="仿宋_GB2312" w:eastAsia="仿宋_GB2312"/>
              </w:rPr>
              <w:t>供应商资格证明文件.docx 主要人员简历表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法定代表人身份证明书/法定代表人授权书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法定代表人参与磋商时需提供法定代表人身份证明书；被授权人参与磋商时需提供法定代表人身份证明书及法定代表人授权委托书；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磋商保证金交纳凭证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磋商响应文件按竞争性磋商文件要求进行签章</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技术服务合同条款及其他商务要求应答表 强制优先采购产品承诺函 响应文件封面 政府采购供应商拒绝政府采购领域商业贿赂承诺书.docx 项目管理机构组成表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技术服务合同条款及其他商务要求应答表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供应商名称应与营业执照相一致</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技术服务合同条款及其他商务要求应答表 强制优先采购产品承诺函 响应文件封面 政府采购供应商拒绝政府采购领域商业贿赂承诺书.docx 项目管理机构组成表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对采购内容响应程度</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技术服务合同条款及其他商务要求应答表 强制优先采购产品承诺函 响应文件封面 政府采购供应商拒绝政府采购领域商业贿赂承诺书.docx 项目管理机构组成表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无其他无效磋商处理的情况</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技术服务合同条款及其他商务要求应答表 强制优先采购产品承诺函 响应文件封面 政府采购供应商拒绝政府采购领域商业贿赂承诺书.docx 项目管理机构组成表 残疾人福利性单位声明函 报价函 标的清单 供应商类似项目业绩一览表 供应商资格证明文件.docx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①施工总平面布置； ②施工阶段划分及施工顺序安排； ③资源配备计划：主要施工机械设备、劳动力等配备计划及主材进场计划； （二）评审标准： （1）每项评审内容完整无缺陷得3分，满分9分；未提供得0分；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①施工准备； ②施工方法及相关技术措施； ③重点难点工程分析及解决措施。 （二）评审标准： （1）每项评审内容完整无缺陷得3分，满分9分；未提供得0分；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①施工进度计划； ②工期保障措施； ③各个进度衔接的保证措施。 （二）评审标准： （1）每项评审内容完整无缺陷得3分，满分9分；未提供得0分；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①质量管理体系； ②施工质量保障措施。 （二）评审标准： （1）每项评审内容完整无缺陷得3分，满分6分；未提供得0分；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①安全生产管理体系；②安全生产责任制度和安全教育培训制度；③各道工序安全技术措施。 （二）评审标准： （1）每项评审内容完整无缺陷得3分，满分9分；未提供得0分；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（一）评审内容：①环境卫生管理制度； ②文明施工及环境保护措施。 （二）评审标准： （1）每项评审内容完整无缺陷得3分，满分6分；未提供得0分；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（1）人员配备：拟投入的项目管理机构人员结构合理、岗位职责明确，除项目经理外，项目管理机构每配备1人得1分，本项最高得8分； （2）人员职称：项目管理人员中，除项目经理外，每具有一个工程类高级职称人员得2分，每具有一个工程类中级职称人员得1分,本项最高得4分。 注：须提供人员相关证件，不提供得0分。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供应商近三年（2023年6月至今）每具有1项类似业绩得1分，最多得5分，未提供得0分。（提供合同复印件加盖公章，以合同签订时间为准）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满足竞争性磋商文件要求且磋商价格最低的最终磋商报价为磋商基准价，得满分35分； (2) 磋商报价得分=(磋商基准价／最终磋商报价)×35%×100。 备注：当磋商小组认为某个供应商的报价明显低于其他通过符合性审查供应商的报价，有可能影响工程质量和不能诚信履约的，可以要求该供应商提供书面说明，必要时提交相关证明材料；供应商不能证明其报价合理的，磋商小组可以将其作为无效磋商处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