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版本号：BB2026-07-ZB-07720260724001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清河古栎阳桥段排污口整治及规范化建设</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BB2026-07-ZB-077</w:t>
      </w:r>
      <w:r>
        <w:br/>
      </w:r>
      <w:r>
        <w:br/>
      </w:r>
      <w:r>
        <w:br/>
      </w:r>
    </w:p>
    <w:p>
      <w:pPr>
        <w:pStyle w:val="null3"/>
        <w:jc w:val="center"/>
        <w:outlineLvl w:val="2"/>
      </w:pPr>
      <w:r>
        <w:rPr>
          <w:rFonts w:ascii="仿宋_GB2312" w:hAnsi="仿宋_GB2312" w:cs="仿宋_GB2312" w:eastAsia="仿宋_GB2312"/>
          <w:sz w:val="28"/>
          <w:b/>
        </w:rPr>
        <w:t>西安市阎良区北屯街道办事处</w:t>
      </w:r>
    </w:p>
    <w:p>
      <w:pPr>
        <w:pStyle w:val="null3"/>
        <w:jc w:val="center"/>
        <w:outlineLvl w:val="2"/>
      </w:pPr>
      <w:r>
        <w:rPr>
          <w:rFonts w:ascii="仿宋_GB2312" w:hAnsi="仿宋_GB2312" w:cs="仿宋_GB2312" w:eastAsia="仿宋_GB2312"/>
          <w:sz w:val="28"/>
          <w:b/>
        </w:rPr>
        <w:t>博标工程咨询有限公司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博标工程咨询有限公司</w:t>
      </w:r>
      <w:r>
        <w:rPr>
          <w:rFonts w:ascii="仿宋_GB2312" w:hAnsi="仿宋_GB2312" w:cs="仿宋_GB2312" w:eastAsia="仿宋_GB2312"/>
        </w:rPr>
        <w:t>（以下简称“代理机构”）受</w:t>
      </w:r>
      <w:r>
        <w:rPr>
          <w:rFonts w:ascii="仿宋_GB2312" w:hAnsi="仿宋_GB2312" w:cs="仿宋_GB2312" w:eastAsia="仿宋_GB2312"/>
        </w:rPr>
        <w:t>西安市阎良区北屯街道办事处</w:t>
      </w:r>
      <w:r>
        <w:rPr>
          <w:rFonts w:ascii="仿宋_GB2312" w:hAnsi="仿宋_GB2312" w:cs="仿宋_GB2312" w:eastAsia="仿宋_GB2312"/>
        </w:rPr>
        <w:t>委托，拟对</w:t>
      </w:r>
      <w:r>
        <w:rPr>
          <w:rFonts w:ascii="仿宋_GB2312" w:hAnsi="仿宋_GB2312" w:cs="仿宋_GB2312" w:eastAsia="仿宋_GB2312"/>
        </w:rPr>
        <w:t>清河古栎阳桥段排污口整治及规范化建设</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BB2026-07-ZB-077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清河古栎阳桥段排污口整治及规范化建设</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为改善清河北屯段水质,在前期入河排污口溯源排查的基础上,按照“一口一策,一口一案”思路,实施西安市阎良区北屯街道办事处清河古栎阳桥段排污口整治及规范化建设。</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采购包1（清河古栎阳桥段排污口整治及规范化建设）：属于专门面向中小企业采购。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应具有独立承担民事责任的能力且具备向采购人提供相关货物及服务的企业法人、事业法人、其他组织或者自然人,企业法人应提供统一社会信用代码的营业执照；事业法人应提供统一社会信用代码的事业单位法人证；其他组织应提供合法证明文件；自然人提供身份证明文件。</w:t>
      </w:r>
    </w:p>
    <w:p>
      <w:pPr>
        <w:pStyle w:val="null3"/>
      </w:pPr>
      <w:r>
        <w:rPr>
          <w:rFonts w:ascii="仿宋_GB2312" w:hAnsi="仿宋_GB2312" w:cs="仿宋_GB2312" w:eastAsia="仿宋_GB2312"/>
        </w:rPr>
        <w:t>2、法定代表人证明书或法定代表人授权委托书：法定代表人授权委托书（附法定代表人身份证复印件）及被授权委托人身份证复印件，（法定代表人参加投标只需提供法定代表人身份证复印件）。</w:t>
      </w:r>
    </w:p>
    <w:p>
      <w:pPr>
        <w:pStyle w:val="null3"/>
      </w:pPr>
      <w:r>
        <w:rPr>
          <w:rFonts w:ascii="仿宋_GB2312" w:hAnsi="仿宋_GB2312" w:cs="仿宋_GB2312" w:eastAsia="仿宋_GB2312"/>
        </w:rPr>
        <w:t>3、财务状况报告：提供2025年度经审计的财务报告或开标时间前6个月内银行出具的资信证明或财政部门认可的政府采购专业担保机构出具的投标担保函（以上三种形式的资料提供任何一种即可）注：根据“【财办2022】32号”的规定，2022年后出具的审计报告须在注册会计师行业统一监管平台http://acc.mof.gov.cn/qrcapp/search.htmltimestamp=1709602157914)进行自动赋码验证，未赋码的视为审计报告无效。供应商须提供“注册会计师行业统一监管平台”审计报告查验结果截图。</w:t>
      </w:r>
    </w:p>
    <w:p>
      <w:pPr>
        <w:pStyle w:val="null3"/>
      </w:pPr>
      <w:r>
        <w:rPr>
          <w:rFonts w:ascii="仿宋_GB2312" w:hAnsi="仿宋_GB2312" w:cs="仿宋_GB2312" w:eastAsia="仿宋_GB2312"/>
        </w:rPr>
        <w:t>4、税收缴纳证明：提供投标截止日前6个月内已缴纳的至少一个月的纳税证明或完税证明，依法免税的单位应提供相关证明材料。</w:t>
      </w:r>
    </w:p>
    <w:p>
      <w:pPr>
        <w:pStyle w:val="null3"/>
      </w:pPr>
      <w:r>
        <w:rPr>
          <w:rFonts w:ascii="仿宋_GB2312" w:hAnsi="仿宋_GB2312" w:cs="仿宋_GB2312" w:eastAsia="仿宋_GB2312"/>
        </w:rPr>
        <w:t>5、社会保障资金缴纳证明：提供投标截止日前6个月内已缴存的至少一个月的社会保障资金缴存单据或社保机构开具的社会保险参保缴费情况证明，依法不需要缴纳社会保障资金的单位应提供相关证明材料。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6、履行合同书面声明：提供具有履行本合同所必需的设备和专业技术能力的书面声明。</w:t>
      </w:r>
    </w:p>
    <w:p>
      <w:pPr>
        <w:pStyle w:val="null3"/>
      </w:pPr>
      <w:r>
        <w:rPr>
          <w:rFonts w:ascii="仿宋_GB2312" w:hAnsi="仿宋_GB2312" w:cs="仿宋_GB2312" w:eastAsia="仿宋_GB2312"/>
        </w:rPr>
        <w:t>7、无重大违法记录声明：参加政府采购活动前3年内经营活动中无重大违法记录声明。</w:t>
      </w:r>
    </w:p>
    <w:p>
      <w:pPr>
        <w:pStyle w:val="null3"/>
      </w:pPr>
      <w:r>
        <w:rPr>
          <w:rFonts w:ascii="仿宋_GB2312" w:hAnsi="仿宋_GB2312" w:cs="仿宋_GB2312" w:eastAsia="仿宋_GB2312"/>
        </w:rPr>
        <w:t>8、企业资质要求：供应商应具备建设行政主管部门核发的市政公用工程施工总承包三级及以上资质，并具有有效的安全生产许可证；</w:t>
      </w:r>
    </w:p>
    <w:p>
      <w:pPr>
        <w:pStyle w:val="null3"/>
      </w:pPr>
      <w:r>
        <w:rPr>
          <w:rFonts w:ascii="仿宋_GB2312" w:hAnsi="仿宋_GB2312" w:cs="仿宋_GB2312" w:eastAsia="仿宋_GB2312"/>
        </w:rPr>
        <w:t>9、项目经理资格要求：供应商拟派项目经理具有市政公用工程专业二级及以上注册建造师执业资格，具有有效的安全生产考核合格证书（建安B证），在本单位注册，且未担任其他在建工程项目的项目经理。</w:t>
      </w:r>
    </w:p>
    <w:p>
      <w:pPr>
        <w:pStyle w:val="null3"/>
      </w:pPr>
      <w:r>
        <w:rPr>
          <w:rFonts w:ascii="仿宋_GB2312" w:hAnsi="仿宋_GB2312" w:cs="仿宋_GB2312" w:eastAsia="仿宋_GB2312"/>
        </w:rPr>
        <w:t>10、信用查询：供应商未被“信用中国”网站列入重大税收违法失信主体，未被“中国执行信息公开网”网站列入失信被执行人，未被中国政府采购网列入政府采购严重违法失信行为记录名单。(以采购代理机构现场查验为准。)</w:t>
      </w:r>
    </w:p>
    <w:p>
      <w:pPr>
        <w:pStyle w:val="null3"/>
      </w:pPr>
      <w:r>
        <w:rPr>
          <w:rFonts w:ascii="仿宋_GB2312" w:hAnsi="仿宋_GB2312" w:cs="仿宋_GB2312" w:eastAsia="仿宋_GB2312"/>
        </w:rPr>
        <w:t>11、供应商企业关系关联及联合体说明：本项目不接受联合体投标，单位负责人为同一人或者存在直接控股、管理关系的不同供应商，不得参加同一合同项下的政府采购活动。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西安市阎良区北屯街道办事处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西安市阎良区北屯街道川宏路中段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710089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西安市阎良区北屯街道办事处经办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17629242805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博标工程咨询有限公司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西安市雁塔区南二环西段108号紫竹大厦A座2103</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029-88810380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西安市阎良区政府采购管理股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郝智军</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86204415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采购包1：943,056.44元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国家发展和改革委员会办公厅颁发的《关于招标代理服务收费有关问题的通知》（发改办价格[2003]857号）的有关规定标准100%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西安市阎良区北屯街道办事处</w:t>
      </w:r>
      <w:r>
        <w:rPr>
          <w:rFonts w:ascii="仿宋_GB2312" w:hAnsi="仿宋_GB2312" w:cs="仿宋_GB2312" w:eastAsia="仿宋_GB2312"/>
        </w:rPr>
        <w:t>和</w:t>
      </w:r>
      <w:r>
        <w:rPr>
          <w:rFonts w:ascii="仿宋_GB2312" w:hAnsi="仿宋_GB2312" w:cs="仿宋_GB2312" w:eastAsia="仿宋_GB2312"/>
        </w:rPr>
        <w:t>博标工程咨询有限公司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西安市阎良区北屯街道办事处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博标工程咨询有限公司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西安市阎良区北屯街道办事处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博标工程咨询有限公司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采购⼈在中华⼈⺠共和国境内使⽤供应商提供⼯程或货物或服务时免受第三⽅提出的侵犯其专利权或其它知识产权的起诉。如果第三⽅提出侵权指控，成交供应商应承担由此⽽引起的⼀切法律责任和费⽤。</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按照招投标文件及和合同约定内容的标准进行验收。</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博标工程咨询有限公司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博标工程咨询有限公司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博标工程咨询有限公司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联系人：王艳</w:t>
      </w:r>
    </w:p>
    <w:p>
      <w:pPr>
        <w:pStyle w:val="null3"/>
      </w:pPr>
      <w:r>
        <w:rPr>
          <w:rFonts w:ascii="仿宋_GB2312" w:hAnsi="仿宋_GB2312" w:cs="仿宋_GB2312" w:eastAsia="仿宋_GB2312"/>
        </w:rPr>
        <w:t>联系电话：029-88810380</w:t>
      </w:r>
    </w:p>
    <w:p>
      <w:pPr>
        <w:pStyle w:val="null3"/>
      </w:pPr>
      <w:r>
        <w:rPr>
          <w:rFonts w:ascii="仿宋_GB2312" w:hAnsi="仿宋_GB2312" w:cs="仿宋_GB2312" w:eastAsia="仿宋_GB2312"/>
        </w:rPr>
        <w:t>地址：西安市雁塔区南二环西段108号紫竹大厦A座2103</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943,056.44</w:t>
      </w:r>
    </w:p>
    <w:p>
      <w:pPr>
        <w:pStyle w:val="null3"/>
      </w:pPr>
      <w:r>
        <w:rPr>
          <w:rFonts w:ascii="仿宋_GB2312" w:hAnsi="仿宋_GB2312" w:cs="仿宋_GB2312" w:eastAsia="仿宋_GB2312"/>
        </w:rPr>
        <w:t>采购包最高限价（元）: 943,056.44</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清河古栎阳桥段排污口整治及规范化建设</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943,056.44</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标的名称：清河古栎阳桥段排污口整治及规范化建设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一、项目概况</w:t>
            </w:r>
          </w:p>
          <w:p>
            <w:pPr>
              <w:pStyle w:val="null3"/>
            </w:pPr>
            <w:r>
              <w:rPr>
                <w:rFonts w:ascii="仿宋_GB2312" w:hAnsi="仿宋_GB2312" w:cs="仿宋_GB2312" w:eastAsia="仿宋_GB2312"/>
                <w:sz w:val="21"/>
              </w:rPr>
              <w:t>为改善清河北屯段水质</w:t>
            </w:r>
            <w:r>
              <w:rPr>
                <w:rFonts w:ascii="仿宋_GB2312" w:hAnsi="仿宋_GB2312" w:cs="仿宋_GB2312" w:eastAsia="仿宋_GB2312"/>
                <w:sz w:val="21"/>
              </w:rPr>
              <w:t>,在前期入河排污口溯源排查的基础上,按照“一口一策,一口一案”思路,实施西安市阎良区北屯街道办事处清河古栎阳桥段排污口整治及规范化建设。</w:t>
            </w:r>
            <w:r>
              <w:rPr>
                <w:rFonts w:ascii="仿宋_GB2312" w:hAnsi="仿宋_GB2312" w:cs="仿宋_GB2312" w:eastAsia="仿宋_GB2312"/>
                <w:sz w:val="21"/>
              </w:rPr>
              <w:t>具体内容详见工程量清单。</w:t>
            </w:r>
          </w:p>
          <w:p>
            <w:pPr>
              <w:pStyle w:val="null3"/>
            </w:pPr>
            <w:r>
              <w:rPr>
                <w:rFonts w:ascii="仿宋_GB2312" w:hAnsi="仿宋_GB2312" w:cs="仿宋_GB2312" w:eastAsia="仿宋_GB2312"/>
                <w:sz w:val="21"/>
              </w:rPr>
              <w:t>二、工程内容和施工地点、计划工期、缺陷责任期、质量保修期</w:t>
            </w:r>
          </w:p>
          <w:p>
            <w:pPr>
              <w:pStyle w:val="null3"/>
            </w:pPr>
            <w:r>
              <w:rPr>
                <w:rFonts w:ascii="仿宋_GB2312" w:hAnsi="仿宋_GB2312" w:cs="仿宋_GB2312" w:eastAsia="仿宋_GB2312"/>
                <w:sz w:val="21"/>
              </w:rPr>
              <w:t>（一）工程内容：工程量清单及图纸的全部内容。</w:t>
            </w:r>
          </w:p>
          <w:p>
            <w:pPr>
              <w:pStyle w:val="null3"/>
            </w:pPr>
            <w:r>
              <w:rPr>
                <w:rFonts w:ascii="仿宋_GB2312" w:hAnsi="仿宋_GB2312" w:cs="仿宋_GB2312" w:eastAsia="仿宋_GB2312"/>
                <w:sz w:val="21"/>
              </w:rPr>
              <w:t>（二）工程地点：采购人指定地点。</w:t>
            </w:r>
          </w:p>
          <w:p>
            <w:pPr>
              <w:pStyle w:val="null3"/>
            </w:pPr>
            <w:r>
              <w:rPr>
                <w:rFonts w:ascii="仿宋_GB2312" w:hAnsi="仿宋_GB2312" w:cs="仿宋_GB2312" w:eastAsia="仿宋_GB2312"/>
                <w:sz w:val="21"/>
              </w:rPr>
              <w:t>（三）计划工期：</w:t>
            </w:r>
            <w:r>
              <w:rPr>
                <w:rFonts w:ascii="仿宋_GB2312" w:hAnsi="仿宋_GB2312" w:cs="仿宋_GB2312" w:eastAsia="仿宋_GB2312"/>
                <w:sz w:val="21"/>
              </w:rPr>
              <w:t>60</w:t>
            </w:r>
            <w:r>
              <w:rPr>
                <w:rFonts w:ascii="仿宋_GB2312" w:hAnsi="仿宋_GB2312" w:cs="仿宋_GB2312" w:eastAsia="仿宋_GB2312"/>
                <w:sz w:val="21"/>
              </w:rPr>
              <w:t>日历日。</w:t>
            </w:r>
          </w:p>
          <w:p>
            <w:pPr>
              <w:pStyle w:val="null3"/>
            </w:pPr>
            <w:r>
              <w:rPr>
                <w:rFonts w:ascii="仿宋_GB2312" w:hAnsi="仿宋_GB2312" w:cs="仿宋_GB2312" w:eastAsia="仿宋_GB2312"/>
                <w:sz w:val="21"/>
              </w:rPr>
              <w:t>（四）缺陷责任期：</w:t>
            </w:r>
            <w:r>
              <w:rPr>
                <w:rFonts w:ascii="仿宋_GB2312" w:hAnsi="仿宋_GB2312" w:cs="仿宋_GB2312" w:eastAsia="仿宋_GB2312"/>
                <w:sz w:val="21"/>
              </w:rPr>
              <w:t>1年，</w:t>
            </w:r>
            <w:r>
              <w:rPr>
                <w:rFonts w:ascii="仿宋_GB2312" w:hAnsi="仿宋_GB2312" w:cs="仿宋_GB2312" w:eastAsia="仿宋_GB2312"/>
                <w:sz w:val="21"/>
              </w:rPr>
              <w:t>质保期间履行好质保责任。</w:t>
            </w:r>
          </w:p>
          <w:p>
            <w:pPr>
              <w:pStyle w:val="null3"/>
              <w:jc w:val="both"/>
            </w:pPr>
            <w:r>
              <w:rPr>
                <w:rFonts w:ascii="仿宋_GB2312" w:hAnsi="仿宋_GB2312" w:cs="仿宋_GB2312" w:eastAsia="仿宋_GB2312"/>
                <w:sz w:val="21"/>
              </w:rPr>
              <w:t>（五）质量保修期：见《建设工程质量管理条例》。</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六</w:t>
            </w:r>
            <w:r>
              <w:rPr>
                <w:rFonts w:ascii="仿宋_GB2312" w:hAnsi="仿宋_GB2312" w:cs="仿宋_GB2312" w:eastAsia="仿宋_GB2312"/>
                <w:sz w:val="21"/>
              </w:rPr>
              <w:t>）</w:t>
            </w:r>
            <w:r>
              <w:rPr>
                <w:rFonts w:ascii="仿宋_GB2312" w:hAnsi="仿宋_GB2312" w:cs="仿宋_GB2312" w:eastAsia="仿宋_GB2312"/>
                <w:sz w:val="21"/>
              </w:rPr>
              <w:t>⼯程质量：按国家及省市相关建设⼯程质量标准的规定，达到</w:t>
            </w:r>
            <w:r>
              <w:rPr>
                <w:rFonts w:ascii="仿宋_GB2312" w:hAnsi="仿宋_GB2312" w:cs="仿宋_GB2312" w:eastAsia="仿宋_GB2312"/>
                <w:sz w:val="21"/>
              </w:rPr>
              <w:t>“合格”要求</w:t>
            </w:r>
            <w:r>
              <w:rPr>
                <w:rFonts w:ascii="仿宋_GB2312" w:hAnsi="仿宋_GB2312" w:cs="仿宋_GB2312" w:eastAsia="仿宋_GB2312"/>
                <w:sz w:val="21"/>
              </w:rPr>
              <w:t>。</w:t>
            </w:r>
          </w:p>
          <w:p>
            <w:pPr>
              <w:pStyle w:val="null3"/>
            </w:pPr>
            <w:r>
              <w:rPr>
                <w:rFonts w:ascii="仿宋_GB2312" w:hAnsi="仿宋_GB2312" w:cs="仿宋_GB2312" w:eastAsia="仿宋_GB2312"/>
                <w:sz w:val="21"/>
              </w:rPr>
              <w:t>三、施工要求</w:t>
            </w:r>
          </w:p>
          <w:p>
            <w:pPr>
              <w:pStyle w:val="null3"/>
              <w:jc w:val="both"/>
            </w:pPr>
            <w:r>
              <w:rPr>
                <w:rFonts w:ascii="仿宋_GB2312" w:hAnsi="仿宋_GB2312" w:cs="仿宋_GB2312" w:eastAsia="仿宋_GB2312"/>
                <w:sz w:val="21"/>
              </w:rPr>
              <w:t>在施工期间，中标供应商必须注意施工人员安全，加强安全措施，并对施工人员进行安全教育。施工人员必须持证上岗。因采购人工作的特殊性，要求中标供应商在施工中做到安全文明施工。</w:t>
            </w:r>
          </w:p>
          <w:p>
            <w:pPr>
              <w:pStyle w:val="null3"/>
            </w:pPr>
            <w:r>
              <w:rPr>
                <w:rFonts w:ascii="仿宋_GB2312" w:hAnsi="仿宋_GB2312" w:cs="仿宋_GB2312" w:eastAsia="仿宋_GB2312"/>
                <w:sz w:val="21"/>
              </w:rPr>
              <w:t>四、商务要求</w:t>
            </w:r>
          </w:p>
          <w:p>
            <w:pPr>
              <w:pStyle w:val="null3"/>
            </w:pPr>
            <w:r>
              <w:rPr>
                <w:rFonts w:ascii="仿宋_GB2312" w:hAnsi="仿宋_GB2312" w:cs="仿宋_GB2312" w:eastAsia="仿宋_GB2312"/>
                <w:sz w:val="21"/>
              </w:rPr>
              <w:t>合同签订后，项目完成并验收合格，结算审计完成后，财政拨款到位，甲方向乙方支付至项目结算价款的</w:t>
            </w:r>
            <w:r>
              <w:rPr>
                <w:rFonts w:ascii="仿宋_GB2312" w:hAnsi="仿宋_GB2312" w:cs="仿宋_GB2312" w:eastAsia="仿宋_GB2312"/>
                <w:sz w:val="21"/>
              </w:rPr>
              <w:t>100%，乙方要在项目质保期间严格履行好质保责任。</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施工要求、相关规范进行施工。要求所有工程符合行业规格标准，达到环保节能性、耐用性、安全可靠性、使用性能，安全可靠，功能齐全，性能良好，质量保证完善，符合国内相关标准和有关规定，验收以国内行业标准或合同文本描述的有关技术要求为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本项⽬⼯程量清单依据： 1、《陕西省建设工程工程量清单计价标准及计算标准》（2025）； 2、《陕西省房屋建筑与装饰工程消耗量定额》（2025）、《陕西省通用安装工程消耗量定额》（2025）、《陕西省市政工程消耗量定额》（2025）、《陕西省园林绿化工程消耗量定额》（2025）； 3、《陕西省房屋建筑与装饰工程基价表》（2025）、《陕西省通用安装工程基价表》（2025）、《陕西省市政工程基价表》（2025）、《陕西省园林绿化工程基价表》（2025）； 4、《陕西省建设工程费用规则》(2025)及其相关配套费用文件； 5、西安市阎良区北屯街道办事处清河古栎阳桥段排污口整治及规范化建设项目施工图纸。 6、其他需说明的问题： （1）本项目采用广联达计价软件GCCP7.0，陕西地区7.5000.23.2版本编制； （2）主要材料价格依据阎良区信息价（2025年12月），信息价中缺项的采用市场价； （3）专业暂估价：100000元； （4）暂列金额：13928元（招标代理费9740元，限价编制费4188元）。</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应具有独立承担民事责任的能力且具备向采购人提供相关货物及服务的企业法人、事业法人、其他组织或者自然人,企业法人应提供统一社会信用代码的营业执照；事业法人应提供统一社会信用代码的事业单位法人证；其他组织应提供合法证明文件；自然人提供身份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法定代表人证明书或法定代表人授权委托书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法定代表人授权委托书（附法定代表人身份证复印件）及被授权委托人身份证复印件，（法定代表人参加投标只需提供法定代表人身份证复印件）。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报告或开标时间前6个月内银行出具的资信证明或财政部门认可的政府采购专业担保机构出具的投标担保函（以上三种形式的资料提供任何一种即可）注：根据“【财办2022】32号”的规定，2022年后出具的审计报告须在注册会计师行业统一监管平台http://acc.mof.gov.cn/qrcapp/search.htmltimestamp=1709602157914)进行自动赋码验证，未赋码的视为审计报告无效。供应商须提供“注册会计师行业统一监管平台”审计报告查验结果截图。</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提供投标截止日前6个月内已缴纳的至少一个月的纳税证明或完税证明，依法免税的单位应提供相关证明材料。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提供投标截止日前6个月内已缴存的至少一个月的社会保障资金缴存单据或社保机构开具的社会保险参保缴费情况证明，依法不需要缴纳社会保障资金的单位应提供相关证明材料。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履行合同书面声明</w:t>
            </w:r>
          </w:p>
        </w:tc>
        <w:tc>
          <w:tcPr>
            <w:tcW w:type="dxa" w:w="3322"/>
          </w:tcPr>
          <w:p>
            <w:pPr>
              <w:pStyle w:val="null3"/>
            </w:pPr>
            <w:r>
              <w:rPr>
                <w:rFonts w:ascii="仿宋_GB2312" w:hAnsi="仿宋_GB2312" w:cs="仿宋_GB2312" w:eastAsia="仿宋_GB2312"/>
              </w:rPr>
              <w:t>提供具有履行本合同所必需的设备和专业技术能力的书面声明。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参加政府采购活动前3年内经营活动中无重大违法记录声明。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供应商应具备建设行政主管部门核发的市政公用工程施工总承包三级及以上资质，并具有有效的安全生产许可证；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项目经理资格要求</w:t>
            </w:r>
          </w:p>
        </w:tc>
        <w:tc>
          <w:tcPr>
            <w:tcW w:type="dxa" w:w="3322"/>
          </w:tcPr>
          <w:p>
            <w:pPr>
              <w:pStyle w:val="null3"/>
            </w:pPr>
            <w:r>
              <w:rPr>
                <w:rFonts w:ascii="仿宋_GB2312" w:hAnsi="仿宋_GB2312" w:cs="仿宋_GB2312" w:eastAsia="仿宋_GB2312"/>
              </w:rPr>
              <w:t>供应商拟派项目经理具有市政公用工程专业二级及以上注册建造师执业资格，具有有效的安全生产考核合格证书（建安B证），在本单位注册，且未担任其他在建工程项目的项目经理。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供应商未被“信用中国”网站列入重大税收违法失信主体，未被“中国执行信息公开网”网站列入失信被执行人，未被中国政府采购网列入政府采购严重违法失信行为记录名单。(以采购代理机构现场查验为准。)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供应商企业关系关联及联合体说明</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形式评审标准</w:t>
            </w:r>
          </w:p>
        </w:tc>
        <w:tc>
          <w:tcPr>
            <w:tcW w:type="dxa" w:w="3322"/>
          </w:tcPr>
          <w:p>
            <w:pPr>
              <w:pStyle w:val="null3"/>
            </w:pPr>
            <w:r>
              <w:rPr>
                <w:rFonts w:ascii="仿宋_GB2312" w:hAnsi="仿宋_GB2312" w:cs="仿宋_GB2312" w:eastAsia="仿宋_GB2312"/>
              </w:rPr>
              <w:t>供应商名称应与营业执照、资质证书、安全⽣产许可证⼀致；响应文件签字盖章：应符合磋商文件要求；响应⽂件格式应符合第七章“响应⽂件格式”的要求。</w:t>
            </w:r>
          </w:p>
        </w:tc>
        <w:tc>
          <w:tcPr>
            <w:tcW w:type="dxa" w:w="1661"/>
          </w:tcPr>
          <w:p>
            <w:pPr>
              <w:pStyle w:val="null3"/>
            </w:pPr>
            <w:r>
              <w:rPr>
                <w:rFonts w:ascii="仿宋_GB2312" w:hAnsi="仿宋_GB2312" w:cs="仿宋_GB2312" w:eastAsia="仿宋_GB2312"/>
              </w:rPr>
              <w:t>响应文件封面 已标价工程量清单 技术服务合同条款及其他商务要求应答表.docx 供应商应提交的相关资格证明材料.docx 中小企业声明函 残疾人福利性单位声明函 报价函 标的清单 响应函 施工组织设计.docx 监狱企业的证明文件 强制优先采购产品承诺函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响应性评审标准</w:t>
            </w:r>
          </w:p>
        </w:tc>
        <w:tc>
          <w:tcPr>
            <w:tcW w:type="dxa" w:w="3322"/>
          </w:tcPr>
          <w:p>
            <w:pPr>
              <w:pStyle w:val="null3"/>
            </w:pPr>
            <w:r>
              <w:rPr>
                <w:rFonts w:ascii="仿宋_GB2312" w:hAnsi="仿宋_GB2312" w:cs="仿宋_GB2312" w:eastAsia="仿宋_GB2312"/>
              </w:rPr>
              <w:t>工期：应满足磋商文件中的规定；⼯程质量：应满足磋商文件中的规定；投标有效期：应满足磋商文件中的规定；投标价格：不得⾼于最⾼限价。</w:t>
            </w:r>
          </w:p>
        </w:tc>
        <w:tc>
          <w:tcPr>
            <w:tcW w:type="dxa" w:w="1661"/>
          </w:tcPr>
          <w:p>
            <w:pPr>
              <w:pStyle w:val="null3"/>
            </w:pPr>
            <w:r>
              <w:rPr>
                <w:rFonts w:ascii="仿宋_GB2312" w:hAnsi="仿宋_GB2312" w:cs="仿宋_GB2312" w:eastAsia="仿宋_GB2312"/>
              </w:rPr>
              <w:t>响应文件封面 已标价工程量清单 技术服务合同条款及其他商务要求应答表.docx 报价函 标的清单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供应商根据本项目制定施工方案，施工方案包括：①项目整体实施计划；②项目实施重难点分析及解决措施；③对易发生质量通病，易出现安全问题，施工难度大，技术含量高的部分进行说明并给出施工保障措施和专项技术方案（含主要施工方法，组织措施，检验手段等）； ④施工现场管理制度；⑤农民工工资保障；⑥合同及施工资料的管理。 二、评审标准 ：1、完整性：方案必须全面，对评审内容中的各项要求有详细描述； 2、可实施性：切合本项目实际情况，提出步骤清晰、合理的方案； 3、针对性：方案能够紧扣项目实际情况， 内容科学合理。 三、赋分标准（满分 18分）： ①项目整体实施计划：每完全满足一个评审标准得 1分，满分3分； ②项目实施重难点分析及解决措施：每完全满足一个评审标准得 1 分，满分3分；③对易发生质量通病，易出现安全问题，施工难度大，技术含量高的部分进行说明并给出施工保障措施和专项技术方案（含主要施工方法，组织措施，检验手段等）：每完全满足一个评审标准得 1 分，满分3分；④施工现场管理制度：每完全满足一个评审标准得 1 分，满分3分；⑤农民工工资保障：每完全满足一个评审标准得 1 分，满分3分；⑥合同及施工资料的管理：每完全满足一个评审标准得 1 分，满分3分；未提供不得分。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 ：确保工程质量的技术组织措施内容包括：①工程质量管理工作流程；②工程质量保障方案；③工程质量控制体系；④材料和构配件的质量控制；⑤施工检测及工序交验方案。 二、评审标准： 1、完整性：方案必须全面，对评审内容中的各项要求有详细描述； 2、可实施性：切合本项目实际情况，提出步骤清晰、合理的方案； 3、针对性：方案能够紧扣项目实际情况， 内容科学合理。 三、赋分标准（满分 15分）： ①工程质量管理工作流程：每完全满足一个评审标准得 1 分，满分3分； ②工程质量保障方案：每完全满足一个评审标准得 1 分，满分3分；③工程质量控制体系：每完全满足一个评审标准得 1 分，满分3分；④材料和构配件的质量控制：每完全满足一个评审标准得 1 分，满分3分；⑤施工检测及工序交验方案：每完全满足一个评审标准得 1 分，满分3分。未提供不得分。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一、评审内容： 确保安全生产的技术组织措施内容包括：①安全生产管理制度；②配置安全组织机构；③安全隐患排查、整改制度；④应急救援机制。 二、评审标准： 1、完整性：方案必须全面，对评审内容中的各项要求有详细描述； 2、可实施性：切合本项目实际情况，提出步骤清晰、合理的方案； 3、针对性：方案能够紧扣项目实际情况， 内容科学合理。 三、赋分标准（满分 6 分）：①安全生产管理制度：每完全满足一个评审标准得 0.5分，满分1.5分；②配置安全组织机构：每完全满足一个评审标准得 0.5 分，满分1.5分；③安全隐患排查、整改制度：每完全满足一个评审标准得0.5分，满分1.5分；④应急救援机制：每完全满足一个评审标准得 0.5分，满分1.5分；未提供不得分。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 措施</w:t>
            </w:r>
          </w:p>
        </w:tc>
        <w:tc>
          <w:tcPr>
            <w:tcW w:type="dxa" w:w="2492"/>
          </w:tcPr>
          <w:p>
            <w:pPr>
              <w:pStyle w:val="null3"/>
            </w:pPr>
            <w:r>
              <w:rPr>
                <w:rFonts w:ascii="仿宋_GB2312" w:hAnsi="仿宋_GB2312" w:cs="仿宋_GB2312" w:eastAsia="仿宋_GB2312"/>
              </w:rPr>
              <w:t>一、评审内容： 确保文明施工的技术组织措施及环境保护措施内容包括：①文明及环境保护管理制度；②防尘降噪措施；③节能减排措施；④文明及环境保护施工监督检查机制。 二、评审标准： 1、完整性：方案必须全面，对评审内容中的各项要求有详细描述； 2、可实施性：切合本项目实际情况，提出步骤清晰、合理的方案； 3、针对性：方案能够紧扣项目实际情况， 内容科学合理。 三、赋分标准（满分 6分）： ①文明及环境保护管理制度：每完全满足一个评审标准得 0.5分，满分1.5分；②防尘降噪措施：每完全满足一个评审标准得 0.5分，满分1.5分；③节能减排措施：每完全满足一个评审标准得0.5分，满分1.5分；④文明及环境保护施工监督检查机制：每完全满足一个评审标准得0.5分，满分1.5分；未提供不得分。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确保工期的技术组织措施及进度保障措施</w:t>
            </w:r>
          </w:p>
        </w:tc>
        <w:tc>
          <w:tcPr>
            <w:tcW w:type="dxa" w:w="2492"/>
          </w:tcPr>
          <w:p>
            <w:pPr>
              <w:pStyle w:val="null3"/>
            </w:pPr>
            <w:r>
              <w:rPr>
                <w:rFonts w:ascii="仿宋_GB2312" w:hAnsi="仿宋_GB2312" w:cs="仿宋_GB2312" w:eastAsia="仿宋_GB2312"/>
              </w:rPr>
              <w:t>一、评审内容 ：工期的技术组织措施及进度保障措施，内容包含：①工期管理制度；②工期保证措施；③节点工期的控制措施；④进度保障措施。 二、评审标准：1、完整性：内容必须全面，对评审内容中的各项要求有详细描述；2、落实性：切合项目具体情况，提出责任明确、要求具体的方案； 3、针对性：内容能够紧扣项目实际情况，内容科学合理。 三、赋分标准（满分 6分）： ①工期管理制度：每完全满足一个评审标准得0.5 分，满分1.5分；②工期保证措施：每完全满足一个评审标准得 0.5分，满分1.5分；③节点工期的控制措施：每完全满足一个评审标准得0.5分，满分1.5分；④进度保障措施：每完全满足一个评审标准得0.5分，满分1.5分；未提供不得分。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环保产品</w:t>
            </w:r>
          </w:p>
        </w:tc>
        <w:tc>
          <w:tcPr>
            <w:tcW w:type="dxa" w:w="2492"/>
          </w:tcPr>
          <w:p>
            <w:pPr>
              <w:pStyle w:val="null3"/>
            </w:pPr>
            <w:r>
              <w:rPr>
                <w:rFonts w:ascii="仿宋_GB2312" w:hAnsi="仿宋_GB2312" w:cs="仿宋_GB2312" w:eastAsia="仿宋_GB2312"/>
              </w:rPr>
              <w:t>供应商提供所用材料属于环境标志产品政府采购清单中的产品，每提供 1 种环保产品的环境标志产品认证证书得 1分，满分2分。 注：以加盖供应商公章的复印件为计分依据。</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项目组织管理机构及人员施工组织安排</w:t>
            </w:r>
          </w:p>
        </w:tc>
        <w:tc>
          <w:tcPr>
            <w:tcW w:type="dxa" w:w="2492"/>
          </w:tcPr>
          <w:p>
            <w:pPr>
              <w:pStyle w:val="null3"/>
            </w:pPr>
            <w:r>
              <w:rPr>
                <w:rFonts w:ascii="仿宋_GB2312" w:hAnsi="仿宋_GB2312" w:cs="仿宋_GB2312" w:eastAsia="仿宋_GB2312"/>
              </w:rPr>
              <w:t>一、评审内容： 项目组织管理机构及人员施工组织安排内容至少包括：①项目管理机构图；②岗位安排及职责（至少需配备施工员、安全员、资料员、材料员、质量员等）；③人员管理制度；④相应的协调措施。 二、评审标准： 1、完整性：方案必须全面，对评审内容中的各项要求有详细描述； 2、可实施性：切合本项目实际情况，提出步骤清晰、合理的方案； 3、针对性：方案能够紧扣项目实际情况， 内容科学合理。 三、赋分标准（满分 6分）： ①项目管理机构图：每完全满足一个评审标准得 0.5分，满分1.5分；②岗位安排及职责（至少需配备施工员、安全员、资料员、材料员、质量员等）：每完全满足一个评审标准得 0.5分，满分1.5分；③人员管理制度：每完全满足一个评审标准得0.5分，满分1.5分；④相应的协调措施：每完全满足一个评审标准得 0.5分，满分1.5分；未提供不得分。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新材料新工艺</w:t>
            </w:r>
          </w:p>
        </w:tc>
        <w:tc>
          <w:tcPr>
            <w:tcW w:type="dxa" w:w="2492"/>
          </w:tcPr>
          <w:p>
            <w:pPr>
              <w:pStyle w:val="null3"/>
            </w:pPr>
            <w:r>
              <w:rPr>
                <w:rFonts w:ascii="仿宋_GB2312" w:hAnsi="仿宋_GB2312" w:cs="仿宋_GB2312" w:eastAsia="仿宋_GB2312"/>
              </w:rPr>
              <w:t>一、评审内容 ：针对本项目具有①新材料的应用情况；②新技术和新工艺的应用情况。 二、评审标准：1、完整性：方案必须全面，对评审内容中的各项要求有详细描述； 2、可实施性：切合本项目实际情况，提出步骤清晰、合理的方案； 3、针对性：方案能够紧扣项目实际情况， 内容科学合理。 三、赋分标准（满分 3 分）： ①新材料的应用情况：每完全满足一个评审标准得 0.5 分，满分 1.5 分； ②新技术和新工艺的应用情况：每完全满足一个评审标准得 0.5 分， 满分 1.5 分。 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一、评审内容：供应商针对本项目编制完善的服务承诺，内容包含：①针对本项目实际需求提供实质性服务承诺及保障措施；②针对本项目施工验收后期的质保承诺。 二、评审标准：1、完整性：方案必须全面，对评审内容中的各项要求有详细描述； 2、可实施性：切合本项目实际情况，提出步骤清晰、合理的方案； 3、针对性：方案能够紧扣项目实际情况， 内容科学合理。三、赋分标准（满分 3 分）：①针对本项目实际需求提供实质性服务承诺及保障措施：每完全满足一个评审标准得 0.5 分， 满分 1.5 分；②针对本项目施工验收后期的质保承诺：每完全满足一个评审标准得 0.5 分， 满分 1.5 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具有 2023年1月1日至今的类似项目业绩合同（以合同签订日期为准），每提供一份得2.5分，最高得5分。投标响应文件中附有说明其业绩证明材料（业绩以合同为依据）。</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施工组织设计.docx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价格分采用最低评标价法，即实质性满足磋商文件要求且最终投标报价最低的为评标基准价，其价格分为满分30分。其他供应商的价格分按照下列公式计算：投标报价得分 =(评标基准价/最终投标报价)×30。计算结果最多保留两位小数。</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详见附件：技术服务合同条款及其他商务要求应答表.docx</w:t>
      </w:r>
    </w:p>
    <w:p>
      <w:pPr>
        <w:pStyle w:val="null3"/>
        <w:ind w:firstLine="960"/>
      </w:pPr>
      <w:r>
        <w:rPr>
          <w:rFonts w:ascii="仿宋_GB2312" w:hAnsi="仿宋_GB2312" w:cs="仿宋_GB2312" w:eastAsia="仿宋_GB2312"/>
        </w:rPr>
        <w:t>详见附件：施工组织设计.docx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详见附件：建设工程施工合同.docx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