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8EC8F">
      <w:pPr>
        <w:jc w:val="center"/>
        <w:rPr>
          <w:rFonts w:ascii="黑体" w:hAnsi="黑体" w:eastAsia="黑体" w:cs="黑体"/>
          <w:color w:val="000000" w:themeColor="text1"/>
          <w:sz w:val="28"/>
          <w:szCs w:val="28"/>
          <w:highlight w:val="none"/>
          <w:lang w:eastAsia="zh-CN"/>
          <w14:textFill>
            <w14:solidFill>
              <w14:schemeClr w14:val="tx1"/>
            </w14:solidFill>
          </w14:textFill>
        </w:rPr>
      </w:pPr>
      <w:bookmarkStart w:id="8" w:name="_GoBack"/>
      <w:r>
        <w:rPr>
          <w:rFonts w:hint="eastAsia" w:ascii="黑体" w:hAnsi="黑体" w:eastAsia="黑体" w:cs="黑体"/>
          <w:color w:val="000000" w:themeColor="text1"/>
          <w:sz w:val="28"/>
          <w:szCs w:val="28"/>
          <w:highlight w:val="none"/>
          <w:lang w:eastAsia="zh-CN"/>
          <w14:textFill>
            <w14:solidFill>
              <w14:schemeClr w14:val="tx1"/>
            </w14:solidFill>
          </w14:textFill>
        </w:rPr>
        <w:t>设备购置合同</w:t>
      </w:r>
    </w:p>
    <w:p w14:paraId="4722C361">
      <w:pPr>
        <w:rPr>
          <w:rFonts w:asciiTheme="minorEastAsia" w:hAnsiTheme="minorEastAsia" w:eastAsiaTheme="minorEastAsia" w:cstheme="minorEastAsia"/>
          <w:color w:val="000000" w:themeColor="text1"/>
          <w:highlight w:val="none"/>
          <w:lang w:eastAsia="zh-CN"/>
          <w14:textFill>
            <w14:solidFill>
              <w14:schemeClr w14:val="tx1"/>
            </w14:solidFill>
          </w14:textFill>
        </w:rPr>
      </w:pPr>
    </w:p>
    <w:p w14:paraId="3F4B08D9">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设备，经双方协商达成如下合同条款：</w:t>
      </w:r>
    </w:p>
    <w:p w14:paraId="5932E82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1.合同内容</w:t>
      </w:r>
    </w:p>
    <w:p w14:paraId="55BCF0B3">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乙方负责为甲方培训操作、维护人员，质保期内负责指导设备的操作使用和保养维修，做好售后服务工作。甲方在乙方完成合同明确规定的责任和义务后，按合同要求付给乙方相应的设备货款。</w:t>
      </w:r>
    </w:p>
    <w:p w14:paraId="6F27E97D">
      <w:pPr>
        <w:spacing w:line="36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1.1 设备购置清单(币种：人民币)</w:t>
      </w:r>
    </w:p>
    <w:tbl>
      <w:tblPr>
        <w:tblStyle w:val="13"/>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4AD8C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B0902FC">
            <w:pPr>
              <w:jc w:val="center"/>
              <w:rPr>
                <w:rFonts w:asciiTheme="minorEastAsia" w:hAnsiTheme="minorEastAsia" w:eastAsiaTheme="minorEastAsia" w:cstheme="minorEastAsia"/>
                <w:b/>
                <w:bCs/>
                <w:color w:val="000000" w:themeColor="text1"/>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highlight w:val="none"/>
                <w14:textFill>
                  <w14:solidFill>
                    <w14:schemeClr w14:val="tx1"/>
                  </w14:solidFill>
                </w14:textFill>
              </w:rPr>
              <w:t>序号</w:t>
            </w:r>
          </w:p>
        </w:tc>
        <w:tc>
          <w:tcPr>
            <w:tcW w:w="1458" w:type="dxa"/>
            <w:vAlign w:val="center"/>
          </w:tcPr>
          <w:p w14:paraId="1B37155B">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设备名称</w:t>
            </w:r>
          </w:p>
        </w:tc>
        <w:tc>
          <w:tcPr>
            <w:tcW w:w="1776" w:type="dxa"/>
            <w:vAlign w:val="center"/>
          </w:tcPr>
          <w:p w14:paraId="39081C10">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品牌、规格、型号</w:t>
            </w:r>
          </w:p>
        </w:tc>
        <w:tc>
          <w:tcPr>
            <w:tcW w:w="925" w:type="dxa"/>
            <w:vAlign w:val="center"/>
          </w:tcPr>
          <w:p w14:paraId="3C856400">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数量</w:t>
            </w:r>
          </w:p>
          <w:p w14:paraId="18075CBC">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(台、套)</w:t>
            </w:r>
          </w:p>
        </w:tc>
        <w:tc>
          <w:tcPr>
            <w:tcW w:w="1130" w:type="dxa"/>
            <w:vAlign w:val="center"/>
          </w:tcPr>
          <w:p w14:paraId="5A56824B">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单价</w:t>
            </w:r>
          </w:p>
          <w:p w14:paraId="02530C10">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(万元)</w:t>
            </w:r>
          </w:p>
        </w:tc>
        <w:tc>
          <w:tcPr>
            <w:tcW w:w="1090" w:type="dxa"/>
            <w:vAlign w:val="center"/>
          </w:tcPr>
          <w:p w14:paraId="6E0BD4E2">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合计</w:t>
            </w:r>
          </w:p>
          <w:p w14:paraId="78C68A78">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(万元)</w:t>
            </w:r>
          </w:p>
        </w:tc>
        <w:tc>
          <w:tcPr>
            <w:tcW w:w="1420" w:type="dxa"/>
            <w:vAlign w:val="center"/>
          </w:tcPr>
          <w:p w14:paraId="0A406C35">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生产商</w:t>
            </w:r>
          </w:p>
        </w:tc>
        <w:tc>
          <w:tcPr>
            <w:tcW w:w="617" w:type="dxa"/>
            <w:vAlign w:val="center"/>
          </w:tcPr>
          <w:p w14:paraId="0D7591E2">
            <w:pPr>
              <w:jc w:val="center"/>
              <w:rPr>
                <w:rFonts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highlight w:val="none"/>
                <w14:textFill>
                  <w14:solidFill>
                    <w14:schemeClr w14:val="tx1"/>
                  </w14:solidFill>
                </w14:textFill>
              </w:rPr>
              <w:t>备注</w:t>
            </w:r>
          </w:p>
        </w:tc>
      </w:tr>
      <w:tr w14:paraId="27AAA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280EB20D">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sz w:val="22"/>
                <w:szCs w:val="22"/>
                <w:highlight w:val="none"/>
                <w14:textFill>
                  <w14:solidFill>
                    <w14:schemeClr w14:val="tx1"/>
                  </w14:solidFill>
                </w14:textFill>
              </w:rPr>
              <w:t>1</w:t>
            </w:r>
          </w:p>
        </w:tc>
        <w:tc>
          <w:tcPr>
            <w:tcW w:w="1458" w:type="dxa"/>
            <w:vAlign w:val="center"/>
          </w:tcPr>
          <w:p w14:paraId="6F725AC2">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776" w:type="dxa"/>
            <w:vAlign w:val="center"/>
          </w:tcPr>
          <w:p w14:paraId="0CF962FE">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925" w:type="dxa"/>
            <w:vAlign w:val="center"/>
          </w:tcPr>
          <w:p w14:paraId="5F04C60D">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130" w:type="dxa"/>
            <w:vAlign w:val="center"/>
          </w:tcPr>
          <w:p w14:paraId="55B45190">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090" w:type="dxa"/>
            <w:vAlign w:val="center"/>
          </w:tcPr>
          <w:p w14:paraId="1A14255D">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420" w:type="dxa"/>
            <w:vAlign w:val="center"/>
          </w:tcPr>
          <w:p w14:paraId="2CE1AE34">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617" w:type="dxa"/>
            <w:vAlign w:val="center"/>
          </w:tcPr>
          <w:p w14:paraId="04C7080B">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r>
      <w:tr w14:paraId="71BCB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7B3AB59B">
            <w:pPr>
              <w:jc w:val="center"/>
              <w:rPr>
                <w:rFonts w:asciiTheme="minorEastAsia" w:hAnsiTheme="minorEastAsia" w:eastAsiaTheme="minorEastAsia" w:cstheme="minorEastAsia"/>
                <w:color w:val="000000" w:themeColor="text1"/>
                <w:sz w:val="22"/>
                <w:szCs w:val="22"/>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highlight w:val="none"/>
                <w:lang w:eastAsia="zh-CN"/>
                <w14:textFill>
                  <w14:solidFill>
                    <w14:schemeClr w14:val="tx1"/>
                  </w14:solidFill>
                </w14:textFill>
              </w:rPr>
              <w:t>2</w:t>
            </w:r>
          </w:p>
        </w:tc>
        <w:tc>
          <w:tcPr>
            <w:tcW w:w="1458" w:type="dxa"/>
            <w:vAlign w:val="center"/>
          </w:tcPr>
          <w:p w14:paraId="5CC9C77D">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776" w:type="dxa"/>
            <w:vAlign w:val="center"/>
          </w:tcPr>
          <w:p w14:paraId="201C7BDC">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925" w:type="dxa"/>
            <w:vAlign w:val="center"/>
          </w:tcPr>
          <w:p w14:paraId="301B7DE7">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130" w:type="dxa"/>
            <w:vAlign w:val="center"/>
          </w:tcPr>
          <w:p w14:paraId="370D2833">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090" w:type="dxa"/>
            <w:vAlign w:val="center"/>
          </w:tcPr>
          <w:p w14:paraId="066BAE6B">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420" w:type="dxa"/>
            <w:vAlign w:val="center"/>
          </w:tcPr>
          <w:p w14:paraId="579E66E7">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617" w:type="dxa"/>
            <w:vAlign w:val="center"/>
          </w:tcPr>
          <w:p w14:paraId="44B60E96">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r>
      <w:tr w14:paraId="17367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6F9616">
            <w:pPr>
              <w:jc w:val="center"/>
              <w:rPr>
                <w:rFonts w:asciiTheme="minorEastAsia" w:hAnsiTheme="minorEastAsia" w:eastAsiaTheme="minorEastAsia" w:cstheme="minorEastAsia"/>
                <w:color w:val="000000" w:themeColor="text1"/>
                <w:sz w:val="22"/>
                <w:szCs w:val="22"/>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highlight w:val="none"/>
                <w:lang w:eastAsia="zh-CN"/>
                <w14:textFill>
                  <w14:solidFill>
                    <w14:schemeClr w14:val="tx1"/>
                  </w14:solidFill>
                </w14:textFill>
              </w:rPr>
              <w:t>...</w:t>
            </w:r>
          </w:p>
        </w:tc>
        <w:tc>
          <w:tcPr>
            <w:tcW w:w="1458" w:type="dxa"/>
            <w:vAlign w:val="center"/>
          </w:tcPr>
          <w:p w14:paraId="66F9A6B8">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776" w:type="dxa"/>
            <w:vAlign w:val="center"/>
          </w:tcPr>
          <w:p w14:paraId="6676F5B1">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925" w:type="dxa"/>
            <w:vAlign w:val="center"/>
          </w:tcPr>
          <w:p w14:paraId="1C992528">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130" w:type="dxa"/>
            <w:vAlign w:val="center"/>
          </w:tcPr>
          <w:p w14:paraId="7CD34DCE">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090" w:type="dxa"/>
            <w:vAlign w:val="center"/>
          </w:tcPr>
          <w:p w14:paraId="1E98BEB9">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1420" w:type="dxa"/>
            <w:vAlign w:val="center"/>
          </w:tcPr>
          <w:p w14:paraId="268B4D0F">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617" w:type="dxa"/>
            <w:vAlign w:val="center"/>
          </w:tcPr>
          <w:p w14:paraId="4D057C00">
            <w:pPr>
              <w:jc w:val="cente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r>
      <w:tr w14:paraId="2DAEA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D97312">
            <w:pP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p w14:paraId="5BBE6B30">
            <w:pPr>
              <w:rPr>
                <w:rFonts w:asciiTheme="minorEastAsia" w:hAnsiTheme="minorEastAsia" w:eastAsiaTheme="minorEastAsia" w:cs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sz w:val="22"/>
                <w:szCs w:val="22"/>
                <w:highlight w:val="none"/>
                <w14:textFill>
                  <w14:solidFill>
                    <w14:schemeClr w14:val="tx1"/>
                  </w14:solidFill>
                </w14:textFill>
              </w:rPr>
              <w:t>合计(元)</w:t>
            </w:r>
          </w:p>
        </w:tc>
        <w:tc>
          <w:tcPr>
            <w:tcW w:w="5182" w:type="dxa"/>
            <w:gridSpan w:val="5"/>
            <w:vAlign w:val="center"/>
          </w:tcPr>
          <w:p w14:paraId="22E43BD2">
            <w:pPr>
              <w:jc w:val="both"/>
              <w:rPr>
                <w:rFonts w:asciiTheme="minorEastAsia" w:hAnsiTheme="minorEastAsia" w:eastAsiaTheme="minorEastAsia" w:cs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sz w:val="22"/>
                <w:szCs w:val="22"/>
                <w:highlight w:val="none"/>
                <w14:textFill>
                  <w14:solidFill>
                    <w14:schemeClr w14:val="tx1"/>
                  </w14:solidFill>
                </w14:textFill>
              </w:rPr>
              <w:t>大写：</w:t>
            </w:r>
          </w:p>
        </w:tc>
      </w:tr>
      <w:tr w14:paraId="7530E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17E0FBE3">
            <w:pPr>
              <w:rPr>
                <w:rFonts w:asciiTheme="minorEastAsia" w:hAnsiTheme="minorEastAsia" w:eastAsiaTheme="minorEastAsia" w:cstheme="minorEastAsia"/>
                <w:color w:val="000000" w:themeColor="text1"/>
                <w:sz w:val="22"/>
                <w:szCs w:val="22"/>
                <w:highlight w:val="none"/>
                <w14:textFill>
                  <w14:solidFill>
                    <w14:schemeClr w14:val="tx1"/>
                  </w14:solidFill>
                </w14:textFill>
              </w:rPr>
            </w:pPr>
          </w:p>
        </w:tc>
        <w:tc>
          <w:tcPr>
            <w:tcW w:w="5182" w:type="dxa"/>
            <w:gridSpan w:val="5"/>
            <w:vAlign w:val="center"/>
          </w:tcPr>
          <w:p w14:paraId="4A252518">
            <w:pPr>
              <w:jc w:val="both"/>
              <w:rPr>
                <w:rFonts w:asciiTheme="minorEastAsia" w:hAnsiTheme="minorEastAsia" w:eastAsiaTheme="minorEastAsia" w:cstheme="minorEastAsia"/>
                <w:color w:val="000000" w:themeColor="text1"/>
                <w:sz w:val="22"/>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sz w:val="22"/>
                <w:szCs w:val="22"/>
                <w:highlight w:val="none"/>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highlight w:val="none"/>
                <w14:textFill>
                  <w14:solidFill>
                    <w14:schemeClr w14:val="tx1"/>
                  </w14:solidFill>
                </w14:textFill>
              </w:rPr>
              <w:t>元</w:t>
            </w:r>
          </w:p>
        </w:tc>
      </w:tr>
    </w:tbl>
    <w:p w14:paraId="10D89AB1">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7C492AC1">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不含税金额____元，增值税税额____元，适用税率____%。</w:t>
      </w:r>
    </w:p>
    <w:p w14:paraId="4B48396A">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1.3 合同总额为一次性包死价格，不受市场价格的变化和影响，在合同不发生变更时作为付款结算的依据。</w:t>
      </w:r>
    </w:p>
    <w:p w14:paraId="3E8D10AB">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 设备的技术参数要求</w:t>
      </w:r>
    </w:p>
    <w:p w14:paraId="5A24B622">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1C7CEA6A">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1.4.2 乙方应向甲方提供有关标准的中文文本。</w:t>
      </w:r>
    </w:p>
    <w:p w14:paraId="4F1495EF">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1.4.3 除非技术规范中另有规定，计量单位均采用中华人民共和国法定计量单位。</w:t>
      </w:r>
    </w:p>
    <w:p w14:paraId="26048E3C">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2.包装运输要求</w:t>
      </w:r>
    </w:p>
    <w:p w14:paraId="645443FF">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711DF40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3.交货时间及交货地点</w:t>
      </w:r>
    </w:p>
    <w:p w14:paraId="1194BD48">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340F263A">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0028A74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4.产品质量保证</w:t>
      </w:r>
    </w:p>
    <w:p w14:paraId="31CAE18C">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60EC5F58">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72C05970">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4.3 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73226D38">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4.4 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5C4E96AF">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5899A6D2">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4.6 产品质量保证期为甲方最终设备验收合格后</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年，设备正常使用寿命为</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6CAEBA57">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5.技术服务承诺</w:t>
      </w:r>
    </w:p>
    <w:p w14:paraId="202E1D91">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5.1 乙方应严格按照供货时间，及时给甲方供货。</w:t>
      </w:r>
    </w:p>
    <w:p w14:paraId="60100E36">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0438B994">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5.3 人员培训：乙方免费为甲方培训设备使用人员，培训内容包括：设备操作、维护、简单维修等。</w:t>
      </w:r>
    </w:p>
    <w:p w14:paraId="6E8DB5EC">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5.4 售后服务：质保期内乙方对甲方提出的服务响应不得超过</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小时，并派人到现场排除故障或制定解决方案。乙方售后服务及维修专线：</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50C37754">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5.5 具体服务详见乙方投标文件中乙方的承诺书。</w:t>
      </w:r>
    </w:p>
    <w:p w14:paraId="40415CF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6.验收方法及标准</w:t>
      </w:r>
    </w:p>
    <w:p w14:paraId="2081E5BC">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6.1 开箱验收</w:t>
      </w:r>
    </w:p>
    <w:p w14:paraId="24FBF7BE">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6.1.1 产品运抵现场后，双方应及时开箱验收，并制作验收记录，以确认与本合同约定的数量、型号等是否一致。</w:t>
      </w:r>
    </w:p>
    <w:p w14:paraId="0A713564">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6489E0F3">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B7C88E1">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7F79681E">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6.2 检验验收</w:t>
      </w:r>
    </w:p>
    <w:p w14:paraId="6C88D000">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3558F48F">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2150D43F">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6.2.3 除需甲方确认的试验验收外，乙方还应对所有检验验收测试的结果、步骤、原始数据等作妥善记录。如甲方要求，乙方应提供这些记录给甲方。</w:t>
      </w:r>
    </w:p>
    <w:p w14:paraId="549C57A9">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6.2.4 检验测试出现全部或部分未达到本合同所约定的技术指标，甲方有权选择下列任一处理方式：</w:t>
      </w:r>
    </w:p>
    <w:p w14:paraId="426388FC">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a.重新测试直至合格为止；</w:t>
      </w:r>
    </w:p>
    <w:p w14:paraId="5BC6ABFC">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1F8C9B62">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6.3 使用过程检验</w:t>
      </w:r>
    </w:p>
    <w:p w14:paraId="61330A8B">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ED74DED">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天内给对方声明，以陈述己方的观点。声明须附有关证据。分歧应通过协商解决。</w:t>
      </w:r>
    </w:p>
    <w:p w14:paraId="100466C4">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6.4 所有验收合格，但不能免除乙方应该承担的质保责任。</w:t>
      </w:r>
    </w:p>
    <w:p w14:paraId="4087A04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7.合同款项支付方式</w:t>
      </w:r>
    </w:p>
    <w:p w14:paraId="04B8AA6C">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7.1 履约保证金</w:t>
      </w:r>
    </w:p>
    <w:p w14:paraId="5634BF6F">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5  </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%的履约保证金；</w:t>
      </w:r>
    </w:p>
    <w:p w14:paraId="794070B3">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7.1.2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履约保证金可自主选择以银行转账、支票、汇票、本票或银行保函等非现金形式缴纳履约保证金；</w:t>
      </w:r>
    </w:p>
    <w:p w14:paraId="48E5B110">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7.1.3 设备到货并由甲方验收合格后，在最终验收合格之日起满24个月后，采购人在收到供应商书面申请，经采购人确认供应商履行了合同约定的义务，无违约情形一次性予以无息退还。</w:t>
      </w:r>
    </w:p>
    <w:p w14:paraId="73B7627F">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7.2 合同款支付</w:t>
      </w:r>
    </w:p>
    <w:p w14:paraId="433CB104">
      <w:pPr>
        <w:spacing w:line="380" w:lineRule="exact"/>
        <w:ind w:firstLine="532"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13"/>
          <w:kern w:val="0"/>
          <w:sz w:val="24"/>
          <w:szCs w:val="24"/>
          <w:highlight w:val="none"/>
          <w:fitText w:val="7200" w:id="497837475"/>
          <w:lang w:eastAsia="zh-CN"/>
          <w14:textFill>
            <w14:solidFill>
              <w14:schemeClr w14:val="tx1"/>
            </w14:solidFill>
          </w14:textFill>
        </w:rPr>
        <w:t>签订合同后，设备到达指定地点、安装调试完成并验收合格</w:t>
      </w:r>
      <w:r>
        <w:rPr>
          <w:rFonts w:hint="eastAsia" w:asciiTheme="minorEastAsia" w:hAnsiTheme="minorEastAsia" w:eastAsiaTheme="minorEastAsia" w:cstheme="minorEastAsia"/>
          <w:color w:val="000000" w:themeColor="text1"/>
          <w:spacing w:val="22"/>
          <w:kern w:val="0"/>
          <w:sz w:val="24"/>
          <w:szCs w:val="24"/>
          <w:highlight w:val="none"/>
          <w:fitText w:val="7200" w:id="497837475"/>
          <w:lang w:eastAsia="zh-CN"/>
          <w14:textFill>
            <w14:solidFill>
              <w14:schemeClr w14:val="tx1"/>
            </w14:solidFill>
          </w14:textFill>
        </w:rPr>
        <w:t>后</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，支付合同总价的</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100</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6B796949">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7.3 甲方向乙方付款前时，乙方必须先提供等额的增值税</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专用</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发票，在乙方提供后，方可办理付款手续（税票</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及其相关资料</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办理具体问题与学校财务部门咨询或协商）。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确认收到乙方提供的发票后</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个工作日内付款。</w:t>
      </w:r>
    </w:p>
    <w:p w14:paraId="0D1CE90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8.安全生产和文明施工</w:t>
      </w:r>
    </w:p>
    <w:p w14:paraId="2C05E7E6">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8.1 现场安全文明施工由乙方编制专项详细方案并严格执行。</w:t>
      </w:r>
    </w:p>
    <w:p w14:paraId="09641277">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乙方承担甲方相应经济赔偿责任。</w:t>
      </w:r>
    </w:p>
    <w:p w14:paraId="43634469">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8.3 在设备安装施工全过程中，乙方应服从甲方的各项管理，并对乙方施工人员进行安全管理。</w:t>
      </w:r>
    </w:p>
    <w:p w14:paraId="1EE9065B">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8.4 确保现场建筑物及相关设施设备完好无损，如施工过程中出现损坏，乙方负责修复赔偿。</w:t>
      </w:r>
    </w:p>
    <w:p w14:paraId="10722504">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8.5 乙方应对安装施工人员相关岗位上岗资格进行审查，并对相关后果负责。</w:t>
      </w:r>
    </w:p>
    <w:p w14:paraId="6A7BD57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9.索赔</w:t>
      </w:r>
    </w:p>
    <w:p w14:paraId="440A296D">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06A54173">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9.2 在验收合格前，乙方对甲方提出的索赔负有责任，乙方应按照甲方同意的下列一种或多种方式解决索赔事宜：</w:t>
      </w:r>
    </w:p>
    <w:p w14:paraId="1FC5BDD2">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10B2A20">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7A6A7FF7">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57ABA104">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个工作日内未作答复的，甲方可从合同款或履约保证金中扣回索赔金额，如金额不足以补偿索赔金额，乙方应补足差额部分。</w:t>
      </w:r>
    </w:p>
    <w:p w14:paraId="08EA8757">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10.违约责任</w:t>
      </w:r>
    </w:p>
    <w:p w14:paraId="13A140D1">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10.1 合同生效后，甲乙双方应按合同规定认真全面履约。合同履约责任只涉及合同甲乙双方，不考虑第三方因素。</w:t>
      </w:r>
    </w:p>
    <w:p w14:paraId="2B72A01A">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BC4FEA2">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%的违约金及其他损失。</w:t>
      </w:r>
    </w:p>
    <w:p w14:paraId="7B156884">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%违约金。</w:t>
      </w:r>
    </w:p>
    <w:p w14:paraId="1F89F0AB">
      <w:pPr>
        <w:spacing w:line="380" w:lineRule="exact"/>
        <w:ind w:firstLine="480" w:firstLineChars="200"/>
        <w:jc w:val="both"/>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%的违约金。</w:t>
      </w:r>
    </w:p>
    <w:p w14:paraId="3C414609">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10.6 除不可抗力因素外，乙方对所供产品出现的问题推诿、拖延，</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小时未作出服务响应且乙方没有按照合同规定的时间交货和提供服务，甲方可要求乙方支付违约金。违约金每日按合同总价款的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‰计收。否则，甲方有权拒绝乙方以后参加学校竞标。</w:t>
      </w:r>
    </w:p>
    <w:p w14:paraId="59C112F6">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11.合同争议的解决</w:t>
      </w:r>
    </w:p>
    <w:p w14:paraId="39DC3C2D">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11.1 甲乙双方由于本合同的履行而发生任何争议时，双方可先通过协商解决。</w:t>
      </w:r>
    </w:p>
    <w:p w14:paraId="5D5F8075">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11.2 任何一方不愿通过协商或通过协商仍不能解决争议，则双方中任何一方均应向甲方所在地人民法院起诉。</w:t>
      </w:r>
    </w:p>
    <w:p w14:paraId="720F03E7">
      <w:pPr>
        <w:spacing w:line="380" w:lineRule="exact"/>
        <w:ind w:firstLine="482" w:firstLineChars="200"/>
        <w:rPr>
          <w:rFonts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t>12.违约解除合同</w:t>
      </w:r>
    </w:p>
    <w:p w14:paraId="1315B531">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12.1 出现下列情形之一的，视为乙方违约。甲方可向乙方发出书面通知，部分或全部终止合同，同时保留向乙方索赔及追加其违约责任的权利。</w:t>
      </w:r>
    </w:p>
    <w:p w14:paraId="7D7FBA60">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12.1.1 乙方未能在合同规定的限期或甲方同意延长的限期内，提供全部或部分货物的；</w:t>
      </w:r>
    </w:p>
    <w:p w14:paraId="22377388">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12.1.2 乙方未能履行合同规定的其它主要义务的；</w:t>
      </w:r>
    </w:p>
    <w:p w14:paraId="0F4B0FB8">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12.1.3 乙方在本合同履行过程中有欺诈行为的。</w:t>
      </w:r>
    </w:p>
    <w:p w14:paraId="6763AE69">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0C85535B">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13.</w:t>
      </w:r>
      <w:bookmarkStart w:id="0" w:name="_Toc495505745"/>
      <w:bookmarkStart w:id="1" w:name="_Toc26328"/>
      <w:bookmarkStart w:id="2" w:name="_Toc14186"/>
      <w:bookmarkStart w:id="3" w:name="_Toc23280"/>
      <w:r>
        <w:rPr>
          <w:rFonts w:hint="eastAsia" w:asciiTheme="minorEastAsia" w:hAnsiTheme="minorEastAsia" w:eastAsiaTheme="minorEastAsia" w:cstheme="minorEastAsia"/>
          <w:b w:val="0"/>
          <w:bCs w:val="0"/>
          <w:color w:val="000000" w:themeColor="text1"/>
          <w:sz w:val="24"/>
          <w:szCs w:val="24"/>
          <w:highlight w:val="none"/>
          <w:lang w:eastAsia="zh-CN"/>
          <w14:textFill>
            <w14:solidFill>
              <w14:schemeClr w14:val="tx1"/>
            </w14:solidFill>
          </w14:textFill>
        </w:rPr>
        <w:t>不可抗力</w:t>
      </w:r>
      <w:bookmarkEnd w:id="0"/>
      <w:bookmarkEnd w:id="1"/>
      <w:bookmarkEnd w:id="2"/>
      <w:bookmarkEnd w:id="3"/>
    </w:p>
    <w:p w14:paraId="1C2609BC">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3B729BF1">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C2E334">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如不可抗力时间延续120天以上的，各方通过协商达成在合理的时间内继续履行合同，或部分履行合同，或终止合同的履行。</w:t>
      </w:r>
    </w:p>
    <w:p w14:paraId="0184F9CB">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一方迟延履行后发生不可抗力的，不能免除责任。</w:t>
      </w:r>
    </w:p>
    <w:p w14:paraId="2E0B987B">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highlight w:val="none"/>
          <w:lang w:eastAsia="zh-CN"/>
          <w14:textFill>
            <w14:solidFill>
              <w14:schemeClr w14:val="tx1"/>
            </w14:solidFill>
          </w14:textFill>
        </w:rPr>
        <w:t>14.其它事项</w:t>
      </w:r>
    </w:p>
    <w:p w14:paraId="3198F093">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14.1 合同经双方签字盖章后生效。本合同一式六份，甲方执五份，乙方执一份，执行完毕后自行失效。</w:t>
      </w:r>
    </w:p>
    <w:p w14:paraId="30E3FFD1">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14.2 下述文件为本合同一部分，并与本合同一起阅读和理解，且具有同等法律效力；合同的附件、投标文件均作为本合同不可分割的内容，且具有同等法律效力。合同的附件由甲方使用单位负责审核并签章。</w:t>
      </w:r>
    </w:p>
    <w:p w14:paraId="2745B2C8">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a.合同附件（设备的具体配置及技术参数）；</w:t>
      </w:r>
    </w:p>
    <w:p w14:paraId="2EF38DA5">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b.招标文件；</w:t>
      </w:r>
    </w:p>
    <w:p w14:paraId="66387070">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c.投标文件；</w:t>
      </w:r>
    </w:p>
    <w:p w14:paraId="658F88FF">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d.进出口代理协议；</w:t>
      </w:r>
    </w:p>
    <w:p w14:paraId="77616354">
      <w:pPr>
        <w:spacing w:line="380" w:lineRule="exact"/>
        <w:ind w:firstLine="480" w:firstLineChars="200"/>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d.中标通知书。</w:t>
      </w:r>
    </w:p>
    <w:p w14:paraId="42F95D58">
      <w:pPr>
        <w:spacing w:line="380" w:lineRule="exact"/>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14.3 通知和合同修改;在本合同执行过程中，一方给另一方的通知，都应以书面的形式（信函、传真）发送至对方，对本合同条款进行任何改动或补充，均须由甲乙双方签署书面合同修改签证，方为有效。</w:t>
      </w:r>
    </w:p>
    <w:p w14:paraId="4B6F8758">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pPr>
      <w:bookmarkStart w:id="4" w:name="_Toc18101"/>
      <w:bookmarkStart w:id="5" w:name="_Toc11939"/>
      <w:bookmarkStart w:id="6" w:name="_Toc1081"/>
      <w:bookmarkStart w:id="7" w:name="_Toc495505746"/>
      <w:r>
        <w:rPr>
          <w:rFonts w:hint="eastAsia" w:asciiTheme="minorEastAsia" w:hAnsiTheme="minorEastAsia" w:eastAsiaTheme="minorEastAsia" w:cstheme="minorEastAsia"/>
          <w:b w:val="0"/>
          <w:bCs w:val="0"/>
          <w:color w:val="000000" w:themeColor="text1"/>
          <w:sz w:val="24"/>
          <w:szCs w:val="24"/>
          <w:highlight w:val="none"/>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highlight w:val="none"/>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highlight w:val="none"/>
          <w:lang w:eastAsia="zh-CN"/>
          <w14:textFill>
            <w14:solidFill>
              <w14:schemeClr w14:val="tx1"/>
            </w14:solidFill>
          </w14:textFill>
        </w:rPr>
        <w:t>本合同未尽事宜由双方共同协商，另行订立补充协议，补充协议与本协议具有同样的法律效力。如果本合同之附件与本合同规定不符, 以本合同规定为准。</w:t>
      </w:r>
    </w:p>
    <w:p w14:paraId="7C14D33B">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个工作日书面通知对方；否则，原地址仍有效，依此发出的通知一经发出即视为送达，由此产生的后果由未通知方自行承担。</w:t>
      </w:r>
    </w:p>
    <w:p w14:paraId="70950D61">
      <w:pPr>
        <w:spacing w:line="380" w:lineRule="exact"/>
        <w:ind w:firstLine="480" w:firstLineChars="20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p>
    <w:p w14:paraId="7E03A3D0">
      <w:pPr>
        <w:spacing w:beforeLines="50" w:afterLines="50"/>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合同签订地点：陕西职业技术学院</w:t>
      </w:r>
    </w:p>
    <w:p w14:paraId="2E50CC9B">
      <w:pPr>
        <w:spacing w:beforeLines="50" w:afterLines="50"/>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日</w:t>
      </w:r>
    </w:p>
    <w:p w14:paraId="52D697C2">
      <w:pPr>
        <w:rPr>
          <w:rFonts w:asciiTheme="minorEastAsia" w:hAnsiTheme="minorEastAsia" w:eastAsiaTheme="minorEastAsia" w:cstheme="minorEastAsia"/>
          <w:color w:val="000000" w:themeColor="text1"/>
          <w:sz w:val="24"/>
          <w:szCs w:val="24"/>
          <w:highlight w:val="none"/>
          <w14:textFill>
            <w14:solidFill>
              <w14:schemeClr w14:val="tx1"/>
            </w14:solidFill>
          </w14:textFill>
        </w:rPr>
      </w:pPr>
    </w:p>
    <w:tbl>
      <w:tblPr>
        <w:tblStyle w:val="13"/>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08654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53B80B09">
            <w:pPr>
              <w:jc w:val="both"/>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甲方(盖章):陕西职业技术学院</w:t>
            </w:r>
          </w:p>
        </w:tc>
        <w:tc>
          <w:tcPr>
            <w:tcW w:w="4485" w:type="dxa"/>
            <w:vAlign w:val="center"/>
          </w:tcPr>
          <w:p w14:paraId="601663B1">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乙方(盖章):</w:t>
            </w:r>
          </w:p>
        </w:tc>
      </w:tr>
      <w:tr w14:paraId="55B51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35F93F04">
            <w:pPr>
              <w:jc w:val="both"/>
              <w:rPr>
                <w:rFonts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地址：西安市灞桥区狄寨路2028号</w:t>
            </w:r>
          </w:p>
        </w:tc>
        <w:tc>
          <w:tcPr>
            <w:tcW w:w="4485" w:type="dxa"/>
            <w:vAlign w:val="center"/>
          </w:tcPr>
          <w:p w14:paraId="1043A5C1">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地址：</w:t>
            </w:r>
          </w:p>
        </w:tc>
      </w:tr>
      <w:tr w14:paraId="2E8D5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2BD6260">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法定代表人(签字):</w:t>
            </w:r>
          </w:p>
        </w:tc>
        <w:tc>
          <w:tcPr>
            <w:tcW w:w="4485" w:type="dxa"/>
            <w:vAlign w:val="center"/>
          </w:tcPr>
          <w:p w14:paraId="731F06CC">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法定代表人(签字):</w:t>
            </w:r>
          </w:p>
        </w:tc>
      </w:tr>
      <w:tr w14:paraId="5D057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57E059A1">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委托代理人(签字):</w:t>
            </w:r>
          </w:p>
        </w:tc>
        <w:tc>
          <w:tcPr>
            <w:tcW w:w="4485" w:type="dxa"/>
            <w:vAlign w:val="center"/>
          </w:tcPr>
          <w:p w14:paraId="20518BBA">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委托代理人(签字)</w:t>
            </w:r>
          </w:p>
        </w:tc>
      </w:tr>
      <w:tr w14:paraId="33D1A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1CBCA6F2">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联系人：</w:t>
            </w:r>
          </w:p>
        </w:tc>
        <w:tc>
          <w:tcPr>
            <w:tcW w:w="4485" w:type="dxa"/>
            <w:vAlign w:val="center"/>
          </w:tcPr>
          <w:p w14:paraId="0BB88AB3">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联系人：</w:t>
            </w:r>
          </w:p>
        </w:tc>
      </w:tr>
      <w:tr w14:paraId="0DB89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3C817E95">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联系电话：</w:t>
            </w:r>
          </w:p>
        </w:tc>
        <w:tc>
          <w:tcPr>
            <w:tcW w:w="4485" w:type="dxa"/>
            <w:vAlign w:val="center"/>
          </w:tcPr>
          <w:p w14:paraId="28DEA648">
            <w:pPr>
              <w:jc w:val="both"/>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联系电话：</w:t>
            </w:r>
          </w:p>
        </w:tc>
      </w:tr>
      <w:tr w14:paraId="78728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3D003F77">
            <w:pPr>
              <w:jc w:val="both"/>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电子邮箱：</w:t>
            </w:r>
          </w:p>
        </w:tc>
        <w:tc>
          <w:tcPr>
            <w:tcW w:w="4485" w:type="dxa"/>
            <w:vAlign w:val="center"/>
          </w:tcPr>
          <w:p w14:paraId="7EE7CB42">
            <w:pPr>
              <w:jc w:val="both"/>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电子邮箱：</w:t>
            </w:r>
          </w:p>
        </w:tc>
      </w:tr>
    </w:tbl>
    <w:p w14:paraId="056ECF49">
      <w:pP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p>
    <w:p w14:paraId="77C76C82">
      <w:pPr>
        <w:rPr>
          <w:color w:val="auto"/>
          <w:highlight w:val="none"/>
        </w:rPr>
      </w:pPr>
    </w:p>
    <w:p w14:paraId="3DFDEB45">
      <w:pPr>
        <w:rPr>
          <w:highlight w:val="none"/>
        </w:rPr>
      </w:pPr>
    </w:p>
    <w:bookmarkEnd w:i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985637B"/>
    <w:rsid w:val="1D2366AB"/>
    <w:rsid w:val="21C02D6D"/>
    <w:rsid w:val="2755784B"/>
    <w:rsid w:val="29B7714B"/>
    <w:rsid w:val="2A09202A"/>
    <w:rsid w:val="2B57116C"/>
    <w:rsid w:val="2D012D2F"/>
    <w:rsid w:val="2DC047AC"/>
    <w:rsid w:val="3876013D"/>
    <w:rsid w:val="3FA639A6"/>
    <w:rsid w:val="432B57DF"/>
    <w:rsid w:val="469B0D50"/>
    <w:rsid w:val="4C334E7A"/>
    <w:rsid w:val="578318F4"/>
    <w:rsid w:val="62F04E50"/>
    <w:rsid w:val="688E376F"/>
    <w:rsid w:val="6C35284A"/>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1"/>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5"/>
    <w:link w:val="12"/>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uiPriority w:val="0"/>
    <w:pPr>
      <w:ind w:firstLine="420" w:firstLineChars="200"/>
    </w:pPr>
  </w:style>
  <w:style w:type="paragraph" w:customStyle="1" w:styleId="9">
    <w:name w:val="正文2"/>
    <w:basedOn w:val="1"/>
    <w:qFormat/>
    <w:uiPriority w:val="0"/>
    <w:pPr>
      <w:ind w:firstLine="562" w:firstLineChars="200"/>
      <w:jc w:val="left"/>
    </w:pPr>
    <w:rPr>
      <w:rFonts w:hint="eastAsia"/>
    </w:rPr>
  </w:style>
  <w:style w:type="character" w:customStyle="1" w:styleId="10">
    <w:name w:val="标题 1 Char"/>
    <w:link w:val="2"/>
    <w:qFormat/>
    <w:uiPriority w:val="0"/>
    <w:rPr>
      <w:rFonts w:ascii="Times New Roman" w:hAnsi="Times New Roman" w:eastAsia="宋体" w:cs="Times New Roman"/>
      <w:b/>
      <w:kern w:val="44"/>
      <w:sz w:val="32"/>
      <w:szCs w:val="21"/>
    </w:rPr>
  </w:style>
  <w:style w:type="character" w:customStyle="1" w:styleId="11">
    <w:name w:val="标题 2 Char"/>
    <w:link w:val="3"/>
    <w:qFormat/>
    <w:uiPriority w:val="9"/>
    <w:rPr>
      <w:rFonts w:ascii="Cambria" w:hAnsi="Cambria" w:eastAsia="宋体" w:cs="Times New Roman"/>
      <w:b/>
      <w:bCs/>
      <w:kern w:val="0"/>
      <w:sz w:val="28"/>
      <w:szCs w:val="32"/>
    </w:rPr>
  </w:style>
  <w:style w:type="character" w:customStyle="1" w:styleId="12">
    <w:name w:val="标题 3 字符"/>
    <w:link w:val="4"/>
    <w:qFormat/>
    <w:uiPriority w:val="0"/>
    <w:rPr>
      <w:rFonts w:ascii="Times New Roman" w:hAnsi="Times New Roman" w:eastAsia="仿宋" w:cs="Times New Roman"/>
      <w:b/>
      <w:bCs/>
      <w:kern w:val="2"/>
      <w:sz w:val="28"/>
      <w:szCs w:val="32"/>
    </w:rPr>
  </w:style>
  <w:style w:type="table" w:customStyle="1" w:styleId="1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2026-06-25T08:35:41Z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