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版本号：SXYZ2026ZB-MZT-0605.1.2B120260806001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人口老龄化国情教育系列节目和中国老年报陕西专版采编项目(二次)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SXYZ2026ZB-MZT-0605.1.2B1</w:t>
      </w:r>
      <w:r>
        <w:br/>
      </w:r>
      <w:r>
        <w:br/>
      </w:r>
      <w:r>
        <w:br/>
      </w:r>
    </w:p>
    <w:p>
      <w:pPr>
        <w:pStyle w:val="null3"/>
        <w:jc w:val="center"/>
        <w:outlineLvl w:val="2"/>
      </w:pPr>
      <w:r>
        <w:rPr>
          <w:rFonts w:ascii="仿宋_GB2312" w:hAnsi="仿宋_GB2312" w:cs="仿宋_GB2312" w:eastAsia="仿宋_GB2312"/>
          <w:sz w:val="28"/>
          <w:b/>
        </w:rPr>
        <w:t>陕西省民政厅机关</w:t>
      </w:r>
    </w:p>
    <w:p>
      <w:pPr>
        <w:pStyle w:val="null3"/>
        <w:jc w:val="center"/>
        <w:outlineLvl w:val="2"/>
      </w:pPr>
      <w:r>
        <w:rPr>
          <w:rFonts w:ascii="仿宋_GB2312" w:hAnsi="仿宋_GB2312" w:cs="仿宋_GB2312" w:eastAsia="仿宋_GB2312"/>
          <w:sz w:val="28"/>
          <w:b/>
        </w:rPr>
        <w:t>陕西宇正招标有限公司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陕西宇正招标有限公司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人口老龄化国情教育系列节目和中国老年报陕西专版采编项目(二次)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SXYZ2026ZB-MZT-0605.1.2B1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人口老龄化国情教育系列节目和中国老年报陕西专版采编项目(二次)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本项目设置2个采购包： 采购包1：人口老龄化国情教育系列节目（20万元）；采购包2：采编中国老年报陕西专版（30万元）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1、授权代表：法定代表⼈参加投标的，须提交法定代表⼈⾝份证明及⾝份证；法定代表⼈授权他⼈参加投标的，须提交法定代表⼈授权委托书及被授权⼈⾝份证；</w:t>
      </w:r>
    </w:p>
    <w:p>
      <w:pPr>
        <w:pStyle w:val="null3"/>
      </w:pPr>
      <w:r>
        <w:rPr>
          <w:rFonts w:ascii="仿宋_GB2312" w:hAnsi="仿宋_GB2312" w:cs="仿宋_GB2312" w:eastAsia="仿宋_GB2312"/>
        </w:rPr>
        <w:t>2、非联合体不分包声明：本项⽬不接受联合体投标，不允许转包分包，提供《⾮联合体不分包投标声明 》。</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1、授权代表：法定代表⼈参加投标的，须提交法定代表⼈⾝份证明及⾝份证；法定代表⼈授权他⼈参加投标的，须提交法定代表⼈授权委托书及被授权⼈⾝份证；</w:t>
      </w:r>
    </w:p>
    <w:p>
      <w:pPr>
        <w:pStyle w:val="null3"/>
      </w:pPr>
      <w:r>
        <w:rPr>
          <w:rFonts w:ascii="仿宋_GB2312" w:hAnsi="仿宋_GB2312" w:cs="仿宋_GB2312" w:eastAsia="仿宋_GB2312"/>
        </w:rPr>
        <w:t>2、非联合体不分包声明：本项⽬不接受联合体投标，不允许转包分包，提供《⾮联合体不分包声明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陕西省民政厅机关经办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029-63917541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陕西宇正招标有限公司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西安市新城区长乐西路华东万悦城2号写字楼2207室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常红、魏洁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029-88611613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开户名称：陕西宇正招标有限公司</w:t>
            </w:r>
          </w:p>
          <w:p>
            <w:pPr>
              <w:pStyle w:val="null3"/>
            </w:pPr>
            <w:r>
              <w:rPr>
                <w:rFonts w:ascii="仿宋_GB2312" w:hAnsi="仿宋_GB2312" w:cs="仿宋_GB2312" w:eastAsia="仿宋_GB2312"/>
              </w:rPr>
              <w:t>开户银行：中国银行股份有限公司西安西关支行</w:t>
            </w:r>
          </w:p>
          <w:p>
            <w:pPr>
              <w:pStyle w:val="null3"/>
            </w:pPr>
            <w:r>
              <w:rPr>
                <w:rFonts w:ascii="仿宋_GB2312" w:hAnsi="仿宋_GB2312" w:cs="仿宋_GB2312" w:eastAsia="仿宋_GB2312"/>
              </w:rPr>
              <w:t>银行账号：102471229441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中标服务费参考《国家计委关于印发〈招标代理服务费管理暂行办法〉的通知》（计价格【2002】1980号）、《国家发展和改革委员会办公厅关于招标代理服务收费有关问题的通知》（发改办价格〔2003〕857号）规定收取，不足伍仟元按伍仟元收取，由中标单位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陕西宇正招标有限公司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陕西省民政厅机关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陕西宇正招标有限公司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陕西宇正招标有限公司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按照最终签订的合同约定执行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陕西宇正招标有限公司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陕西宇正招标有限公司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陕西宇正招标有限公司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联系人：常红</w:t>
      </w:r>
    </w:p>
    <w:p>
      <w:pPr>
        <w:pStyle w:val="null3"/>
      </w:pPr>
      <w:r>
        <w:rPr>
          <w:rFonts w:ascii="仿宋_GB2312" w:hAnsi="仿宋_GB2312" w:cs="仿宋_GB2312" w:eastAsia="仿宋_GB2312"/>
        </w:rPr>
        <w:t>联系电话：029-88611613</w:t>
      </w:r>
    </w:p>
    <w:p>
      <w:pPr>
        <w:pStyle w:val="null3"/>
      </w:pPr>
      <w:r>
        <w:rPr>
          <w:rFonts w:ascii="仿宋_GB2312" w:hAnsi="仿宋_GB2312" w:cs="仿宋_GB2312" w:eastAsia="仿宋_GB2312"/>
        </w:rPr>
        <w:t>地址：西安市新城区长乐西路华东万悦城2号写字楼22楼2207室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本项目设置2个采购包： 采购包1：人口老龄化国情教育系列节目（20万元）；采购包2：采编中国老年报陕西专版（30万元）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人口老龄化国情教育系列节目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200000</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采编中国老年报陕西专版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300000</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标的名称：人口老龄化国情教育系列节目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96"/>
              <w:jc w:val="both"/>
            </w:pPr>
            <w:r>
              <w:rPr>
                <w:rFonts w:ascii="仿宋_GB2312" w:hAnsi="仿宋_GB2312" w:cs="仿宋_GB2312" w:eastAsia="仿宋_GB2312"/>
                <w:sz w:val="32"/>
              </w:rPr>
              <w:t>（一）项目背景</w:t>
            </w:r>
          </w:p>
          <w:p>
            <w:pPr>
              <w:pStyle w:val="null3"/>
              <w:ind w:firstLine="696"/>
              <w:jc w:val="both"/>
            </w:pPr>
            <w:r>
              <w:rPr>
                <w:rFonts w:ascii="仿宋_GB2312" w:hAnsi="仿宋_GB2312" w:cs="仿宋_GB2312" w:eastAsia="仿宋_GB2312"/>
                <w:sz w:val="32"/>
              </w:rPr>
              <w:t>在全社会开展人口老龄化国情教育，是贯彻落实总书记关于老龄工作重要指示精神，实施积极应对人口老龄化国家战略的重要举措，有利于增强全社会的人口老龄化国情意识，推动把积极老龄观、健康老龄化理念融入经济社会发展全过程，形成全社会积极应对人口老龄化的强大合力。</w:t>
            </w:r>
          </w:p>
          <w:p>
            <w:pPr>
              <w:pStyle w:val="null3"/>
              <w:ind w:firstLine="696"/>
              <w:jc w:val="both"/>
            </w:pPr>
            <w:r>
              <w:rPr>
                <w:rFonts w:ascii="仿宋_GB2312" w:hAnsi="仿宋_GB2312" w:cs="仿宋_GB2312" w:eastAsia="仿宋_GB2312"/>
                <w:sz w:val="32"/>
              </w:rPr>
              <w:t>（二）项目概述</w:t>
            </w:r>
          </w:p>
          <w:p>
            <w:pPr>
              <w:pStyle w:val="null3"/>
              <w:ind w:firstLine="640"/>
              <w:jc w:val="both"/>
            </w:pPr>
            <w:r>
              <w:rPr>
                <w:rFonts w:ascii="仿宋_GB2312" w:hAnsi="仿宋_GB2312" w:cs="仿宋_GB2312" w:eastAsia="仿宋_GB2312"/>
                <w:sz w:val="32"/>
              </w:rPr>
              <w:t>在省级广播电视平台开设老龄工作专属节目，围绕老龄政策法规、积极老龄观、孝亲敬老文化、老年权益保护、老年健康等内容，邀请相关领域专家学者以讲座、节目等形式进行解读和宣传，并同步在“陕西民政”微信公众号展播。</w:t>
            </w:r>
          </w:p>
          <w:p>
            <w:pPr>
              <w:pStyle w:val="null3"/>
              <w:ind w:firstLine="696"/>
              <w:jc w:val="both"/>
            </w:pPr>
            <w:r>
              <w:rPr>
                <w:rFonts w:ascii="仿宋_GB2312" w:hAnsi="仿宋_GB2312" w:cs="仿宋_GB2312" w:eastAsia="仿宋_GB2312"/>
                <w:sz w:val="32"/>
              </w:rPr>
              <w:t>（三）活动清单</w:t>
            </w:r>
          </w:p>
          <w:tbl>
            <w:tblPr>
              <w:tblBorders>
                <w:top w:val="none" w:color="000000" w:sz="4"/>
                <w:left w:val="none" w:color="000000" w:sz="4"/>
                <w:bottom w:val="none" w:color="000000" w:sz="4"/>
                <w:right w:val="none" w:color="000000" w:sz="4"/>
                <w:insideH w:val="none"/>
                <w:insideV w:val="none"/>
              </w:tblBorders>
            </w:tblPr>
            <w:tblGrid>
              <w:gridCol w:w="576"/>
              <w:gridCol w:w="995"/>
              <w:gridCol w:w="982"/>
            </w:tblGrid>
            <w:tr>
              <w:tc>
                <w:tcPr>
                  <w:tcW w:type="dxa" w:w="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标题</w:t>
                  </w:r>
                </w:p>
              </w:tc>
              <w:tc>
                <w:tcPr>
                  <w:tcW w:type="dxa" w:w="9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要求</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讲座场次</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不少于</w:t>
                  </w:r>
                  <w:r>
                    <w:rPr>
                      <w:rFonts w:ascii="仿宋_GB2312" w:hAnsi="仿宋_GB2312" w:cs="仿宋_GB2312" w:eastAsia="仿宋_GB2312"/>
                      <w:sz w:val="28"/>
                    </w:rPr>
                    <w:t>10场</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节目期数</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不少于</w:t>
                  </w:r>
                  <w:r>
                    <w:rPr>
                      <w:rFonts w:ascii="仿宋_GB2312" w:hAnsi="仿宋_GB2312" w:cs="仿宋_GB2312" w:eastAsia="仿宋_GB2312"/>
                      <w:sz w:val="28"/>
                    </w:rPr>
                    <w:t>40期</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覆盖人群</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不少于</w:t>
                  </w:r>
                  <w:r>
                    <w:rPr>
                      <w:rFonts w:ascii="仿宋_GB2312" w:hAnsi="仿宋_GB2312" w:cs="仿宋_GB2312" w:eastAsia="仿宋_GB2312"/>
                      <w:sz w:val="28"/>
                    </w:rPr>
                    <w:t>20万人次</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标的名称：采编中国老年报陕西专版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8"/>
              </w:rPr>
              <w:t>1.</w:t>
            </w:r>
            <w:r>
              <w:rPr>
                <w:rFonts w:ascii="仿宋_GB2312" w:hAnsi="仿宋_GB2312" w:cs="仿宋_GB2312" w:eastAsia="仿宋_GB2312"/>
                <w:sz w:val="28"/>
              </w:rPr>
              <w:t>项目背景</w:t>
            </w:r>
          </w:p>
          <w:p>
            <w:pPr>
              <w:pStyle w:val="null3"/>
              <w:ind w:firstLine="640"/>
              <w:jc w:val="both"/>
            </w:pPr>
            <w:r>
              <w:rPr>
                <w:rFonts w:ascii="仿宋_GB2312" w:hAnsi="仿宋_GB2312" w:cs="仿宋_GB2312" w:eastAsia="仿宋_GB2312"/>
                <w:sz w:val="28"/>
              </w:rPr>
              <w:t>为贯彻落实积极应对人口老龄化国家战略，加强陕西老龄工作和养老服务领域典型经验宣传，推动老年友好型社会建设营造良好舆论氛围，根据《关于深入开展人口老龄化国情教育的指导意见》（民发〔</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54</w:t>
            </w:r>
            <w:r>
              <w:rPr>
                <w:rFonts w:ascii="仿宋_GB2312" w:hAnsi="仿宋_GB2312" w:cs="仿宋_GB2312" w:eastAsia="仿宋_GB2312"/>
                <w:sz w:val="28"/>
              </w:rPr>
              <w:t>号）、陕西省老龄工作委员会办公室关于印发《深入开展人口老龄化国情省情教育任务分工方案》的通知（陕老龄办发〔</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号）要求，丰富我省老年人文体休闲生活和精神文化生活，宣传陕西老龄工作、养老事业和养老产业工作。</w:t>
            </w:r>
          </w:p>
          <w:p>
            <w:pPr>
              <w:pStyle w:val="null3"/>
              <w:ind w:firstLine="640"/>
              <w:jc w:val="both"/>
            </w:pPr>
            <w:r>
              <w:rPr>
                <w:rFonts w:ascii="仿宋_GB2312" w:hAnsi="仿宋_GB2312" w:cs="仿宋_GB2312" w:eastAsia="仿宋_GB2312"/>
                <w:sz w:val="28"/>
              </w:rPr>
              <w:t xml:space="preserve"> </w:t>
            </w:r>
            <w:r>
              <w:rPr>
                <w:rFonts w:ascii="仿宋_GB2312" w:hAnsi="仿宋_GB2312" w:cs="仿宋_GB2312" w:eastAsia="仿宋_GB2312"/>
                <w:sz w:val="28"/>
              </w:rPr>
              <w:t>2.</w:t>
            </w:r>
            <w:r>
              <w:rPr>
                <w:rFonts w:ascii="仿宋_GB2312" w:hAnsi="仿宋_GB2312" w:cs="仿宋_GB2312" w:eastAsia="仿宋_GB2312"/>
                <w:sz w:val="28"/>
              </w:rPr>
              <w:t>项目概况</w:t>
            </w:r>
          </w:p>
          <w:p>
            <w:pPr>
              <w:pStyle w:val="null3"/>
              <w:jc w:val="both"/>
            </w:pPr>
            <w:r>
              <w:rPr>
                <w:rFonts w:ascii="仿宋_GB2312" w:hAnsi="仿宋_GB2312" w:cs="仿宋_GB2312" w:eastAsia="仿宋_GB2312"/>
                <w:sz w:val="28"/>
              </w:rPr>
              <w:t xml:space="preserve">  《中国老年报》由民政部主管，中国老年报社主办、出版，是全国唯一的国家级综合性老年报。</w:t>
            </w:r>
            <w:r>
              <w:rPr>
                <w:rFonts w:ascii="仿宋_GB2312" w:hAnsi="仿宋_GB2312" w:cs="仿宋_GB2312" w:eastAsia="仿宋_GB2312"/>
                <w:sz w:val="28"/>
              </w:rPr>
              <w:t>“传老年之声、言老年之事、解老年之忧、做老年之友”，是报社自创刊以来忠实践行的办报宗旨，经沟通，在《中国老年报》开设陕西版。《中国老年报》陕西版拟安排在《中国老年报》的三版或四版（如遇重大或特殊报道任务时进行调整），拟设置“老龄政策”“先进经验”“典型人物”“地方动态”等栏目。拟采取</w:t>
            </w:r>
            <w:r>
              <w:rPr>
                <w:rFonts w:ascii="仿宋_GB2312" w:hAnsi="仿宋_GB2312" w:cs="仿宋_GB2312" w:eastAsia="仿宋_GB2312"/>
                <w:sz w:val="28"/>
              </w:rPr>
              <w:t>"</w:t>
            </w:r>
            <w:r>
              <w:rPr>
                <w:rFonts w:ascii="仿宋_GB2312" w:hAnsi="仿宋_GB2312" w:cs="仿宋_GB2312" w:eastAsia="仿宋_GB2312"/>
                <w:sz w:val="28"/>
              </w:rPr>
              <w:t>报纸＋新媒体</w:t>
            </w:r>
            <w:r>
              <w:rPr>
                <w:rFonts w:ascii="仿宋_GB2312" w:hAnsi="仿宋_GB2312" w:cs="仿宋_GB2312" w:eastAsia="仿宋_GB2312"/>
                <w:sz w:val="28"/>
              </w:rPr>
              <w:t>"</w:t>
            </w:r>
            <w:r>
              <w:rPr>
                <w:rFonts w:ascii="仿宋_GB2312" w:hAnsi="仿宋_GB2312" w:cs="仿宋_GB2312" w:eastAsia="仿宋_GB2312"/>
                <w:sz w:val="28"/>
              </w:rPr>
              <w:t>多元化的模式进行老龄工作宣传。报纸宣传全年预计刊发</w:t>
            </w:r>
            <w:r>
              <w:rPr>
                <w:rFonts w:ascii="仿宋_GB2312" w:hAnsi="仿宋_GB2312" w:cs="仿宋_GB2312" w:eastAsia="仿宋_GB2312"/>
                <w:sz w:val="28"/>
              </w:rPr>
              <w:t xml:space="preserve">35 </w:t>
            </w:r>
            <w:r>
              <w:rPr>
                <w:rFonts w:ascii="仿宋_GB2312" w:hAnsi="仿宋_GB2312" w:cs="仿宋_GB2312" w:eastAsia="仿宋_GB2312"/>
                <w:sz w:val="28"/>
              </w:rPr>
              <w:t>期左右，新媒体宣传主要是在报刊对应的微信公众号发布提供的图文、音换、视频、互动类稿件。</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合作方案</w:t>
            </w:r>
          </w:p>
          <w:p>
            <w:pPr>
              <w:pStyle w:val="null3"/>
              <w:ind w:firstLine="560"/>
              <w:jc w:val="both"/>
            </w:pPr>
            <w:r>
              <w:rPr>
                <w:rFonts w:ascii="仿宋_GB2312" w:hAnsi="仿宋_GB2312" w:cs="仿宋_GB2312" w:eastAsia="仿宋_GB2312"/>
                <w:sz w:val="28"/>
              </w:rPr>
              <w:t>（一）合作方式供应商按照采购人老龄新闻宣传工作要求，负责组织采写编辑审校推送全省贯彻落实老龄政策法规、组织开展老龄工作先进经验做法、老龄工作先进个人事迹等内容的新闻报道作品，稿件体裁为新闻消息、通讯、言论、调研报告、深度报道等。</w:t>
            </w:r>
          </w:p>
          <w:p>
            <w:pPr>
              <w:pStyle w:val="null3"/>
              <w:ind w:firstLine="560"/>
              <w:jc w:val="both"/>
            </w:pPr>
            <w:r>
              <w:rPr>
                <w:rFonts w:ascii="仿宋_GB2312" w:hAnsi="仿宋_GB2312" w:cs="仿宋_GB2312" w:eastAsia="仿宋_GB2312"/>
                <w:sz w:val="28"/>
              </w:rPr>
              <w:t>（二）采编期数和供稿规格采编期数</w:t>
            </w:r>
            <w:r>
              <w:rPr>
                <w:rFonts w:ascii="仿宋_GB2312" w:hAnsi="仿宋_GB2312" w:cs="仿宋_GB2312" w:eastAsia="仿宋_GB2312"/>
                <w:sz w:val="28"/>
              </w:rPr>
              <w:t>:</w:t>
            </w:r>
            <w:r>
              <w:rPr>
                <w:rFonts w:ascii="仿宋_GB2312" w:hAnsi="仿宋_GB2312" w:cs="仿宋_GB2312" w:eastAsia="仿宋_GB2312"/>
                <w:sz w:val="28"/>
              </w:rPr>
              <w:t>每年</w:t>
            </w:r>
            <w:r>
              <w:rPr>
                <w:rFonts w:ascii="仿宋_GB2312" w:hAnsi="仿宋_GB2312" w:cs="仿宋_GB2312" w:eastAsia="仿宋_GB2312"/>
                <w:sz w:val="28"/>
              </w:rPr>
              <w:t>(</w:t>
            </w:r>
            <w:r>
              <w:rPr>
                <w:rFonts w:ascii="仿宋_GB2312" w:hAnsi="仿宋_GB2312" w:cs="仿宋_GB2312" w:eastAsia="仿宋_GB2312"/>
                <w:sz w:val="28"/>
              </w:rPr>
              <w:t>非自然年</w:t>
            </w:r>
            <w:r>
              <w:rPr>
                <w:rFonts w:ascii="仿宋_GB2312" w:hAnsi="仿宋_GB2312" w:cs="仿宋_GB2312" w:eastAsia="仿宋_GB2312"/>
                <w:sz w:val="28"/>
              </w:rPr>
              <w:t>)</w:t>
            </w:r>
            <w:r>
              <w:rPr>
                <w:rFonts w:ascii="仿宋_GB2312" w:hAnsi="仿宋_GB2312" w:cs="仿宋_GB2312" w:eastAsia="仿宋_GB2312"/>
                <w:sz w:val="28"/>
              </w:rPr>
              <w:t>采编期数暂定为</w:t>
            </w:r>
            <w:r>
              <w:rPr>
                <w:rFonts w:ascii="仿宋_GB2312" w:hAnsi="仿宋_GB2312" w:cs="仿宋_GB2312" w:eastAsia="仿宋_GB2312"/>
                <w:sz w:val="28"/>
              </w:rPr>
              <w:t xml:space="preserve">35 </w:t>
            </w:r>
            <w:r>
              <w:rPr>
                <w:rFonts w:ascii="仿宋_GB2312" w:hAnsi="仿宋_GB2312" w:cs="仿宋_GB2312" w:eastAsia="仿宋_GB2312"/>
                <w:sz w:val="28"/>
              </w:rPr>
              <w:t>期，具体以实际采集期数为准。供稿规格</w:t>
            </w:r>
            <w:r>
              <w:rPr>
                <w:rFonts w:ascii="仿宋_GB2312" w:hAnsi="仿宋_GB2312" w:cs="仿宋_GB2312" w:eastAsia="仿宋_GB2312"/>
                <w:sz w:val="28"/>
              </w:rPr>
              <w:t>:</w:t>
            </w:r>
            <w:r>
              <w:rPr>
                <w:rFonts w:ascii="仿宋_GB2312" w:hAnsi="仿宋_GB2312" w:cs="仿宋_GB2312" w:eastAsia="仿宋_GB2312"/>
                <w:sz w:val="28"/>
              </w:rPr>
              <w:t xml:space="preserve">每期供稿不少于 </w:t>
            </w:r>
            <w:r>
              <w:rPr>
                <w:rFonts w:ascii="仿宋_GB2312" w:hAnsi="仿宋_GB2312" w:cs="仿宋_GB2312" w:eastAsia="仿宋_GB2312"/>
                <w:sz w:val="28"/>
              </w:rPr>
              <w:t xml:space="preserve">8 </w:t>
            </w:r>
            <w:r>
              <w:rPr>
                <w:rFonts w:ascii="仿宋_GB2312" w:hAnsi="仿宋_GB2312" w:cs="仿宋_GB2312" w:eastAsia="仿宋_GB2312"/>
                <w:sz w:val="28"/>
              </w:rPr>
              <w:t>篇，字数不少于</w:t>
            </w:r>
            <w:r>
              <w:rPr>
                <w:rFonts w:ascii="仿宋_GB2312" w:hAnsi="仿宋_GB2312" w:cs="仿宋_GB2312" w:eastAsia="仿宋_GB2312"/>
                <w:sz w:val="28"/>
              </w:rPr>
              <w:t xml:space="preserve">7000 </w:t>
            </w:r>
            <w:r>
              <w:rPr>
                <w:rFonts w:ascii="仿宋_GB2312" w:hAnsi="仿宋_GB2312" w:cs="仿宋_GB2312" w:eastAsia="仿宋_GB2312"/>
                <w:sz w:val="28"/>
              </w:rPr>
              <w:t>字。</w:t>
            </w:r>
          </w:p>
          <w:p>
            <w:pPr>
              <w:pStyle w:val="null3"/>
            </w:pPr>
            <w:r>
              <w:rPr>
                <w:rFonts w:ascii="仿宋_GB2312" w:hAnsi="仿宋_GB2312" w:cs="仿宋_GB2312" w:eastAsia="仿宋_GB2312"/>
                <w:sz w:val="28"/>
              </w:rPr>
              <w:t xml:space="preserve">  （三）供稿时间供应商每月</w:t>
            </w:r>
            <w:r>
              <w:rPr>
                <w:rFonts w:ascii="仿宋_GB2312" w:hAnsi="仿宋_GB2312" w:cs="仿宋_GB2312" w:eastAsia="仿宋_GB2312"/>
                <w:sz w:val="28"/>
              </w:rPr>
              <w:t xml:space="preserve">1 </w:t>
            </w:r>
            <w:r>
              <w:rPr>
                <w:rFonts w:ascii="仿宋_GB2312" w:hAnsi="仿宋_GB2312" w:cs="仿宋_GB2312" w:eastAsia="仿宋_GB2312"/>
                <w:sz w:val="28"/>
              </w:rPr>
              <w:t>日、</w:t>
            </w:r>
            <w:r>
              <w:rPr>
                <w:rFonts w:ascii="仿宋_GB2312" w:hAnsi="仿宋_GB2312" w:cs="仿宋_GB2312" w:eastAsia="仿宋_GB2312"/>
                <w:sz w:val="28"/>
              </w:rPr>
              <w:t xml:space="preserve">11 </w:t>
            </w:r>
            <w:r>
              <w:rPr>
                <w:rFonts w:ascii="仿宋_GB2312" w:hAnsi="仿宋_GB2312" w:cs="仿宋_GB2312" w:eastAsia="仿宋_GB2312"/>
                <w:sz w:val="28"/>
              </w:rPr>
              <w:t>日、</w:t>
            </w:r>
            <w:r>
              <w:rPr>
                <w:rFonts w:ascii="仿宋_GB2312" w:hAnsi="仿宋_GB2312" w:cs="仿宋_GB2312" w:eastAsia="仿宋_GB2312"/>
                <w:sz w:val="28"/>
              </w:rPr>
              <w:t xml:space="preserve">21 </w:t>
            </w:r>
            <w:r>
              <w:rPr>
                <w:rFonts w:ascii="仿宋_GB2312" w:hAnsi="仿宋_GB2312" w:cs="仿宋_GB2312" w:eastAsia="仿宋_GB2312"/>
                <w:sz w:val="28"/>
              </w:rPr>
              <w:t>日将稿件及相关图片提供给采购人，采购人在完成内容审核无误后，确定有效并反馈；如遇采购人需即时性宣传的，供应商应无条件随时予以配合。</w:t>
            </w:r>
          </w:p>
          <w:p>
            <w:pPr>
              <w:pStyle w:val="null3"/>
              <w:ind w:firstLine="560"/>
              <w:jc w:val="both"/>
            </w:pPr>
            <w:r>
              <w:rPr>
                <w:rFonts w:ascii="仿宋_GB2312" w:hAnsi="仿宋_GB2312" w:cs="仿宋_GB2312" w:eastAsia="仿宋_GB2312"/>
                <w:sz w:val="28"/>
              </w:rPr>
              <w:t>（四）《中国老年报》陕西版见报稿件，同步在供应商新媒体客户端刊发。新媒体宣传主要是在报刊对应的微信公众号发布提供的图文、音频、视频、互动类稿件，视频全年预计拍摄制作</w:t>
            </w:r>
            <w:r>
              <w:rPr>
                <w:rFonts w:ascii="仿宋_GB2312" w:hAnsi="仿宋_GB2312" w:cs="仿宋_GB2312" w:eastAsia="仿宋_GB2312"/>
                <w:sz w:val="28"/>
              </w:rPr>
              <w:t>10</w:t>
            </w:r>
            <w:r>
              <w:rPr>
                <w:rFonts w:ascii="仿宋_GB2312" w:hAnsi="仿宋_GB2312" w:cs="仿宋_GB2312" w:eastAsia="仿宋_GB2312"/>
                <w:sz w:val="28"/>
              </w:rPr>
              <w:t>期。</w:t>
            </w:r>
          </w:p>
          <w:p>
            <w:pPr>
              <w:pStyle w:val="null3"/>
            </w:pPr>
            <w:r>
              <w:rPr>
                <w:rFonts w:ascii="仿宋_GB2312" w:hAnsi="仿宋_GB2312" w:cs="仿宋_GB2312" w:eastAsia="仿宋_GB2312"/>
                <w:sz w:val="28"/>
              </w:rPr>
              <w:t xml:space="preserve">  按照《中国老年报》陕西版刊发要求，提前将稿件及相关图片提供给采购人审核，采购人需及时反馈修改意见，供应商配合完成修改确认后，提交刊发；如遇采购人即时性宣传的，供应商应无条件随时予以配合。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按照项目需求配置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按照项目需求配置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按照项目需求配置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2026年12月至2027年12月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进度款，合同签订之日起，达到付款条件起10个工作日内，支付合同总金额的70.0%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进度款，自供应商完成采购人全部采编约定并经采购⼈验收合格后，达到付款条件起10个工作日内，支付合同总金额的30.0%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进度款，合同签订之日起，达到付款条件起10个工作日内，支付合同总金额的70.0%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进度款，自供应商完成采购人全部采编约定并经采购⼈验收合格后，达到付款条件起10个工作日内，支付合同总金额的30.0%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以最终签订的合同条款为准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承担⺠事责任能⼒的法⼈、其他组织或⾃然⼈，并出具合法有效的营业执照或事业单位法⼈证书等国家规定的相关证明，⾃然⼈参与的提供其⾝份证明（⾝份证原件）；2、税收缴纳证明：提供⾃2026年1⽉1⽇以来⾄少⼀个⽉的纳税证明或完税证明，纳税证明或完税证明上应有代收机构或税务机关的公章或业务专⽤章；其他组织和⾃然⼈提供⾃2026年1⽉1⽇以来的⾄少⼀个⽉的缴纳税收的凭据；依法免税的或者依法不需缴税的供应商应提供相关⽂件证明；其他组织和⾃然⼈也须提供(复印件加盖公章)；3、社会保障资⾦缴纳证明：提供⾃2026年1⽉1⽇以来⾄少⼀个⽉的社会保障资⾦的证明（社会保障资⾦缴存单据或社保机构开具的社会保险参保缴费情况证明等）；依法不需要缴纳社会保障资⾦的供应商应提供相关⽂件证明；其他组织和⾃然⼈也须提供(复印件加盖公章)；4、具有履⾏本合同所必需的专业技术能⼒和制作经验，提供加盖供应商公章的声明函；5、参加本次政府采购活动前三年内在经营活动中没有重⼤违纪，以及未被列⼊失信被执⾏⼈、重⼤税收违法失信主体名单、政府采购严重违法失信⾏为记录名单的书⾯声明（提供加盖供应商公章的声明函）；6、供应商需在项⽬电⼦化交易系统中按要求填写《投标函》完成承诺并进⾏电⼦签章。</w:t>
            </w:r>
          </w:p>
        </w:tc>
        <w:tc>
          <w:tcPr>
            <w:tcW w:type="dxa" w:w="1661"/>
          </w:tcPr>
          <w:p>
            <w:pPr>
              <w:pStyle w:val="null3"/>
            </w:pPr>
            <w:r>
              <w:rPr>
                <w:rFonts w:ascii="仿宋_GB2312" w:hAnsi="仿宋_GB2312" w:cs="仿宋_GB2312" w:eastAsia="仿宋_GB2312"/>
              </w:rPr>
              <w:t>2.资格证明文件.docx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2025年度财务审计报告，成⽴时间⾄投标截⽌时间不⾜⼀年的可提供成⽴后任意时段的资产负债表。或投标截⽌时间前6个⽉内基本账⼾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1、具有独⽴承担⺠事责任能⼒的法⼈、其他组织或⾃然⼈，并出具合法有效的营业执照或事业 单位法⼈证书等国家规定的相关证明，⾃然⼈参与的提供其⾝份证明（⾝份证原件）；2、税收 缴纳证明：提供⾃2026年1⽉1⽇以来⾄少⼀个⽉的纳税证明或完税证明，纳税证明或完税证 明上应有代收机构或税务机关的公章或业务专⽤章；其他组织和⾃然⼈提供⾃2026年1⽉1⽇以来的⾄少⼀个⽉的缴纳税收的凭据；依法免税的或者依法不需缴税的供应商应提供相关⽂件证明；其他组织和⾃然⼈也须提供(复印件加盖公章)；3、社会保障资⾦缴纳证明：提供⾃2026年1⽉1⽇以来⾄少⼀个⽉的社会保障资⾦的证明（社会保障资⾦缴存单据或社保机构开具的社会保险参保缴费情况证明等）；依法不需要缴纳社会保障资⾦的供应商应提供相关⽂件证明；其他组织和⾃然⼈也须提供(复印件加盖公章)；4、具有履⾏本合同所必需的专业技术能⼒和制作经验，提供加盖供应商公章的声明函；5、参加本次政府采购活动前三年内在经营活动中没有重⼤违纪，以及未被列⼊失信被执⾏⼈、重⼤税收违法案件当事⼈名单、政 府采购严重违法失信⾏为记录名单的书⾯声明（提供加盖供应商公章的声明函）；6、供应商需 在项⽬电⼦化交易系统中按要求填写《投标函》完成承诺并进⾏电⼦签章。</w:t>
            </w:r>
          </w:p>
        </w:tc>
        <w:tc>
          <w:tcPr>
            <w:tcW w:type="dxa" w:w="1661"/>
          </w:tcPr>
          <w:p>
            <w:pPr>
              <w:pStyle w:val="null3"/>
            </w:pPr>
            <w:r>
              <w:rPr>
                <w:rFonts w:ascii="仿宋_GB2312" w:hAnsi="仿宋_GB2312" w:cs="仿宋_GB2312" w:eastAsia="仿宋_GB2312"/>
              </w:rPr>
              <w:t>2.资格证明文件.docx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2025年度财务审计报告，成⽴时间⾄投标截⽌时间不⾜⼀年的可提供成⽴后任意时段的资产负债表。或投标截⽌时间前6个⽉内基本账⼾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法定代表⼈参加投标的，须提交法定代表⼈⾝份证明及⾝份证；法定代表⼈授权他⼈参加投标的，须提交法定代表⼈授权委托书及被授权⼈⾝份证；</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非联合体不分包声明</w:t>
            </w:r>
          </w:p>
        </w:tc>
        <w:tc>
          <w:tcPr>
            <w:tcW w:type="dxa" w:w="3322"/>
          </w:tcPr>
          <w:p>
            <w:pPr>
              <w:pStyle w:val="null3"/>
            </w:pPr>
            <w:r>
              <w:rPr>
                <w:rFonts w:ascii="仿宋_GB2312" w:hAnsi="仿宋_GB2312" w:cs="仿宋_GB2312" w:eastAsia="仿宋_GB2312"/>
              </w:rPr>
              <w:t>本项⽬不接受联合体投标，不允许转包分包，提供《⾮联合体不分包投标声明 》。</w:t>
            </w:r>
          </w:p>
        </w:tc>
        <w:tc>
          <w:tcPr>
            <w:tcW w:type="dxa" w:w="1661"/>
          </w:tcPr>
          <w:p>
            <w:pPr>
              <w:pStyle w:val="null3"/>
            </w:pPr>
            <w:r>
              <w:rPr>
                <w:rFonts w:ascii="仿宋_GB2312" w:hAnsi="仿宋_GB2312" w:cs="仿宋_GB2312" w:eastAsia="仿宋_GB2312"/>
              </w:rPr>
              <w:t>2.资格证明文件.docx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法定代表⼈参加投标的，须提交法定代表⼈⾝份证明及⾝份证；法定代表⼈授权他⼈参加投标的，须提交法定代表⼈授权委托书及被授权⼈⾝份证；</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非联合体不分包声明</w:t>
            </w:r>
          </w:p>
        </w:tc>
        <w:tc>
          <w:tcPr>
            <w:tcW w:type="dxa" w:w="3322"/>
          </w:tcPr>
          <w:p>
            <w:pPr>
              <w:pStyle w:val="null3"/>
            </w:pPr>
            <w:r>
              <w:rPr>
                <w:rFonts w:ascii="仿宋_GB2312" w:hAnsi="仿宋_GB2312" w:cs="仿宋_GB2312" w:eastAsia="仿宋_GB2312"/>
              </w:rPr>
              <w:t>本项⽬不接受联合体投标，不允许转包分包，提供《⾮联合体不分包声明 》。</w:t>
            </w:r>
          </w:p>
        </w:tc>
        <w:tc>
          <w:tcPr>
            <w:tcW w:type="dxa" w:w="1661"/>
          </w:tcPr>
          <w:p>
            <w:pPr>
              <w:pStyle w:val="null3"/>
            </w:pPr>
            <w:r>
              <w:rPr>
                <w:rFonts w:ascii="仿宋_GB2312" w:hAnsi="仿宋_GB2312" w:cs="仿宋_GB2312" w:eastAsia="仿宋_GB2312"/>
              </w:rPr>
              <w:t>2.资格证明文件.docx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 50%； ③投标（响应）报价低于采购项⽬最⾼限价45%的，即投标（响应）报价&lt;采购项⽬最⾼限价×45%； ④评审委员会基于专业判断，认为供应商报价过低，有可能影响产品质量或者不能诚信履约的其他情形。启动异常低价投标（响应）审查后，属于前述第①项⾄第④项情形的,供应商在评审现场30分钟内对投标（响应）价格作出解释，提供项⽬具体成本测算等与报价合理性相关的书⾯说明及必要的证明材料，包括但不限于原材料成本、⼈⼯成本、制造费⽤等。其中，属于第③项情形，供应商已随投标（响应）⽂件⼀并提交相关书⾯说明及必要的证明材料的，在评审现场可不再重复提交。评审委员会依据专业经验，参考同类项⽬中标（成交）价格、类似产品市场价格⽔平、⾏业⼈⼯费⽤标准、国家有关部⻔指导⾏业协会发布的⾏业平均成本等情况，对报价合理性进⾏判断。 2、投标（响应）供应商不能提供书⾯说明、证明材料，或者提供的书⾯说明、证明材料不能证明其报价合理性的，评审委员会应当将其作为⽆效投标（响应）处理。</w:t>
            </w:r>
          </w:p>
        </w:tc>
        <w:tc>
          <w:tcPr>
            <w:tcW w:type="dxa" w:w="1661"/>
          </w:tcPr>
          <w:p>
            <w:pPr>
              <w:pStyle w:val="null3"/>
            </w:pPr>
            <w:r>
              <w:rPr>
                <w:rFonts w:ascii="仿宋_GB2312" w:hAnsi="仿宋_GB2312" w:cs="仿宋_GB2312" w:eastAsia="仿宋_GB2312"/>
              </w:rPr>
              <w:t>标的清单 报价表 1.分项报价表.docx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是否与营业执照及资质证书一致</w:t>
            </w:r>
          </w:p>
        </w:tc>
        <w:tc>
          <w:tcPr>
            <w:tcW w:type="dxa" w:w="1661"/>
          </w:tcPr>
          <w:p>
            <w:pPr>
              <w:pStyle w:val="null3"/>
            </w:pPr>
            <w:r>
              <w:rPr>
                <w:rFonts w:ascii="仿宋_GB2312" w:hAnsi="仿宋_GB2312" w:cs="仿宋_GB2312" w:eastAsia="仿宋_GB2312"/>
              </w:rPr>
              <w:t>4.商务应答表.docx 2.资格证明文件.docx 中小企业声明函 3.承诺书.docx 15.业绩一览表.docx 17.投标保证金保函.docx 响应文件封面 16.供应商认为需要提供的其他资料.docx 残疾人福利性单位声明函 13.团队人员.docx 标的清单 1.分项报价表.docx 5.服务要求应答表.docx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是否超出本项目预算或最高限价</w:t>
            </w:r>
          </w:p>
        </w:tc>
        <w:tc>
          <w:tcPr>
            <w:tcW w:type="dxa" w:w="1661"/>
          </w:tcPr>
          <w:p>
            <w:pPr>
              <w:pStyle w:val="null3"/>
            </w:pPr>
            <w:r>
              <w:rPr>
                <w:rFonts w:ascii="仿宋_GB2312" w:hAnsi="仿宋_GB2312" w:cs="仿宋_GB2312" w:eastAsia="仿宋_GB2312"/>
              </w:rPr>
              <w:t>标的清单 1.分项报价表.docx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是否按照磋商文件要求签署盖章</w:t>
            </w:r>
          </w:p>
        </w:tc>
        <w:tc>
          <w:tcPr>
            <w:tcW w:type="dxa" w:w="1661"/>
          </w:tcPr>
          <w:p>
            <w:pPr>
              <w:pStyle w:val="null3"/>
            </w:pPr>
            <w:r>
              <w:rPr>
                <w:rFonts w:ascii="仿宋_GB2312" w:hAnsi="仿宋_GB2312" w:cs="仿宋_GB2312" w:eastAsia="仿宋_GB2312"/>
              </w:rPr>
              <w:t>4.商务应答表.docx 2.资格证明文件.docx 中小企业声明函 3.承诺书.docx 15.业绩一览表.docx 17.投标保证金保函.docx 响应文件封面 16.供应商认为需要提供的其他资料.docx 残疾人福利性单位声明函 13.团队人员.docx 标的清单 1.分项报价表.docx 5.服务要求应答表.docx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4.商务应答表.docx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17.投标保证金保函.docx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 50%； ③投标（响应）报价低于采购项⽬最⾼限价45%的，即投标（响应）报价&lt;采购项⽬最⾼限价×45%； ④评审委员会基于专业判断，认为供应商报价过低，有可能影响产品质量或者不能诚信履约的其他情形。启动异常低价投标（响应）审查后，属于前述第①项⾄第④项情形的,供应商在评审现场30分钟内对投标（响应）价格作出解释，提供项⽬具体成本测算等与报价合理性相关的书⾯说明及必要的证明材料，包括但不限于原材料成本、⼈⼯成本、制造费⽤等。其中，属于第③项情形，供应商已随投标（响应）⽂件⼀并提交相关书⾯说明及必要的证明材料的，在评审现场可不再重复提交。评审委员会依据专业经验，参考同类项⽬中标（成交）价格、类似产品市场价格⽔平、⾏业⼈⼯费⽤标准、国家有关部⻔指导⾏业协会发布的⾏业平均成本等情况，对报价合理性进⾏判断。 2、投标（响应）供应商不能提供书⾯说明、证明材料，或者提供的书⾯说明、证明材料不能证明其报价合理性的，评审委员会应当将其作为⽆效投标（响应）处理。</w:t>
            </w:r>
          </w:p>
        </w:tc>
        <w:tc>
          <w:tcPr>
            <w:tcW w:type="dxa" w:w="1661"/>
          </w:tcPr>
          <w:p>
            <w:pPr>
              <w:pStyle w:val="null3"/>
            </w:pPr>
            <w:r>
              <w:rPr>
                <w:rFonts w:ascii="仿宋_GB2312" w:hAnsi="仿宋_GB2312" w:cs="仿宋_GB2312" w:eastAsia="仿宋_GB2312"/>
              </w:rPr>
              <w:t>标的清单 1.分项报价表.docx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是否与营业执照及资质证书一致</w:t>
            </w:r>
          </w:p>
        </w:tc>
        <w:tc>
          <w:tcPr>
            <w:tcW w:type="dxa" w:w="1661"/>
          </w:tcPr>
          <w:p>
            <w:pPr>
              <w:pStyle w:val="null3"/>
            </w:pPr>
            <w:r>
              <w:rPr>
                <w:rFonts w:ascii="仿宋_GB2312" w:hAnsi="仿宋_GB2312" w:cs="仿宋_GB2312" w:eastAsia="仿宋_GB2312"/>
              </w:rPr>
              <w:t>4.商务应答表.docx 2.资格证明文件.docx 中小企业声明函 3.承诺书.docx 15.业绩一览表.docx 17.投标保证金保函.docx 响应文件封面 16.供应商认为需要提供的其他资料.docx 残疾人福利性单位声明函 13.团队人员.docx 标的清单 1.分项报价表.docx 5.服务要求应答表.docx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是否超出本项目预算或最高限价</w:t>
            </w:r>
          </w:p>
        </w:tc>
        <w:tc>
          <w:tcPr>
            <w:tcW w:type="dxa" w:w="1661"/>
          </w:tcPr>
          <w:p>
            <w:pPr>
              <w:pStyle w:val="null3"/>
            </w:pPr>
            <w:r>
              <w:rPr>
                <w:rFonts w:ascii="仿宋_GB2312" w:hAnsi="仿宋_GB2312" w:cs="仿宋_GB2312" w:eastAsia="仿宋_GB2312"/>
              </w:rPr>
              <w:t>标的清单 1.分项报价表.docx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是否按照磋商文件要求签署盖章</w:t>
            </w:r>
          </w:p>
        </w:tc>
        <w:tc>
          <w:tcPr>
            <w:tcW w:type="dxa" w:w="1661"/>
          </w:tcPr>
          <w:p>
            <w:pPr>
              <w:pStyle w:val="null3"/>
            </w:pPr>
            <w:r>
              <w:rPr>
                <w:rFonts w:ascii="仿宋_GB2312" w:hAnsi="仿宋_GB2312" w:cs="仿宋_GB2312" w:eastAsia="仿宋_GB2312"/>
              </w:rPr>
              <w:t>4.商务应答表.docx 2.资格证明文件.docx 中小企业声明函 3.承诺书.docx 15.业绩一览表.docx 17.投标保证金保函.docx 响应文件封面 16.供应商认为需要提供的其他资料.docx 残疾人福利性单位声明函 13.团队人员.docx 标的清单 1.分项报价表.docx 5.服务要求应答表.docx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4.商务应答表.docx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17.投标保证金保函.docx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针对本项目采购人要求的服务内容，包括但不限于（1）国家老龄化战略分析；（2）老龄化现状数据；（3）相关政策解读；（4）积极老龄观宣传策略。内容完整，逻辑清晰，完全符合本项目要求得4分，以上4项中每缺少一项扣1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6.需求理解.docx</w:t>
            </w:r>
          </w:p>
        </w:tc>
      </w:tr>
      <w:tr>
        <w:tc>
          <w:tcPr>
            <w:tcW w:type="dxa" w:w="831"/>
            <w:vMerge/>
          </w:tcPr>
          <w:p/>
        </w:tc>
        <w:tc>
          <w:tcPr>
            <w:tcW w:type="dxa" w:w="1661"/>
          </w:tcPr>
          <w:p>
            <w:pPr>
              <w:pStyle w:val="null3"/>
            </w:pPr>
            <w:r>
              <w:rPr>
                <w:rFonts w:ascii="仿宋_GB2312" w:hAnsi="仿宋_GB2312" w:cs="仿宋_GB2312" w:eastAsia="仿宋_GB2312"/>
              </w:rPr>
              <w:t>策划方案</w:t>
            </w:r>
          </w:p>
        </w:tc>
        <w:tc>
          <w:tcPr>
            <w:tcW w:type="dxa" w:w="2492"/>
          </w:tcPr>
          <w:p>
            <w:pPr>
              <w:pStyle w:val="null3"/>
            </w:pPr>
            <w:r>
              <w:rPr>
                <w:rFonts w:ascii="仿宋_GB2312" w:hAnsi="仿宋_GB2312" w:cs="仿宋_GB2312" w:eastAsia="仿宋_GB2312"/>
              </w:rPr>
              <w:t>供应商针对本项目提供策划方案，包括但不限于（1）主题创作；（2）内容架构；（3）形式多样；（4）栏目设置。内容完整，逻辑清晰，完全符合本项目要求得4分，以上4项中每缺少一项扣1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7.策划方案.docx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供应商需提供宣传方案，包括但不限于（1）播出时段安排；（2）传播渠道；（3）宣传推广大纲；（4）受众目标。内容完整，逻辑清晰，完全符合本项目要求得4分，以上4项中每缺少一项扣1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8.宣传方案.docx</w:t>
            </w:r>
          </w:p>
        </w:tc>
      </w:tr>
      <w:tr>
        <w:tc>
          <w:tcPr>
            <w:tcW w:type="dxa" w:w="831"/>
            <w:vMerge/>
          </w:tcPr>
          <w:p/>
        </w:tc>
        <w:tc>
          <w:tcPr>
            <w:tcW w:type="dxa" w:w="1661"/>
          </w:tcPr>
          <w:p>
            <w:pPr>
              <w:pStyle w:val="null3"/>
            </w:pPr>
            <w:r>
              <w:rPr>
                <w:rFonts w:ascii="仿宋_GB2312" w:hAnsi="仿宋_GB2312" w:cs="仿宋_GB2312" w:eastAsia="仿宋_GB2312"/>
              </w:rPr>
              <w:t>节目制作</w:t>
            </w:r>
          </w:p>
        </w:tc>
        <w:tc>
          <w:tcPr>
            <w:tcW w:type="dxa" w:w="2492"/>
          </w:tcPr>
          <w:p>
            <w:pPr>
              <w:pStyle w:val="null3"/>
            </w:pPr>
            <w:r>
              <w:rPr>
                <w:rFonts w:ascii="仿宋_GB2312" w:hAnsi="仿宋_GB2312" w:cs="仿宋_GB2312" w:eastAsia="仿宋_GB2312"/>
              </w:rPr>
              <w:t>供应商在节目制作方面的能力，包括但不限于（1）拍摄设备；（2）后期制作技术；（3）画面质量；（4）音效处理。内容完整，逻辑清晰，完全符合本项目要求得4分，以上4项中每缺少一项扣1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9.节目制作.docx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供应商需提供（1）项目进度表；（2）分岗位工作进度管控；（3）完成时间节点；（4）全流程质量标准。 内容完整，逻辑清晰，完全符合本项目要求得4分，以上4项中每缺少一项扣1分，每项中内容存在一处瑕疵、缺陷或不完整扣0.5分，单项扣完为止。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10.进度安排.docx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为保证节目质量所制定的质量保障措施，包括但不限于（1）政治内容导向保障；（2）内容审核机制；（3）制作流程监控；（4）质量反馈与改进。内容完整，逻辑清晰，完全符合本项目要求得4分，以上4项中每缺少一项扣1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11.质量保障措施.docx</w:t>
            </w:r>
          </w:p>
        </w:tc>
      </w:tr>
      <w:tr>
        <w:tc>
          <w:tcPr>
            <w:tcW w:type="dxa" w:w="831"/>
            <w:vMerge/>
          </w:tcPr>
          <w:p/>
        </w:tc>
        <w:tc>
          <w:tcPr>
            <w:tcW w:type="dxa" w:w="1661"/>
          </w:tcPr>
          <w:p>
            <w:pPr>
              <w:pStyle w:val="null3"/>
            </w:pPr>
            <w:r>
              <w:rPr>
                <w:rFonts w:ascii="仿宋_GB2312" w:hAnsi="仿宋_GB2312" w:cs="仿宋_GB2312" w:eastAsia="仿宋_GB2312"/>
              </w:rPr>
              <w:t>风险应对预案</w:t>
            </w:r>
          </w:p>
        </w:tc>
        <w:tc>
          <w:tcPr>
            <w:tcW w:type="dxa" w:w="2492"/>
          </w:tcPr>
          <w:p>
            <w:pPr>
              <w:pStyle w:val="null3"/>
            </w:pPr>
            <w:r>
              <w:rPr>
                <w:rFonts w:ascii="仿宋_GB2312" w:hAnsi="仿宋_GB2312" w:cs="仿宋_GB2312" w:eastAsia="仿宋_GB2312"/>
              </w:rPr>
              <w:t>供应商针对项目可能出现的风险，包括但不限于（1）包括设备故障应急方案；（2）主持及记者等人员出现状况的应急方案；（3）现场设施出现状况的应急方案。内容完整，逻辑清晰，完全符合本项目要求得3分，以上3项中每缺少一项扣1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12.风险应对预案.docx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 拟派项目负责人（4分） （1）拟派项目负责人具备高级职称（如高级记者、高级编辑、主任导演等）或相关领域高级从业资格的，得4分；具备中级职称（如主任记者、主任编辑、导演等）或相关领域中级从业资格的，得2分；未提供相关职称或资格证明的，不得分。 注：须提供有效职称证书或资格证书复印件，以及供应商为其缴纳的近半年内任意一个月的社保缴纳证明。证书扫描件和社保缴纳证明需加盖供应商公章。 （2）项目经验（满分6分） 提供近3年（自2023年1月1日起至响应文件提交截止日）内，作为项目负责人或核心成员参与过省级及以上主流媒体政务类、民生类或涉老类节目的统筹/导演经验的，每提供一个项目得2分，满分6分；提供有效证明材料或项目经验不符合要求的，得0分。证明材料（如合同关键页、中标通知书或验收证明）加盖公章。 2.团队核心成员（15分） 除项目负责人外，拟派项目团队核心成员具备以下专业资格或职称的，每提供1人得3分，本项最高得15分。 （1）广播电视编导摄制类：具备广播电视编导、摄像、导演等相关专业中级及以上职称或执业资格的。 （2）新闻采编类：具备编辑、记者等相关中级及以上职称；或具备新闻采编相关中级及以上职称的；或具备有效《广播电视编辑记者证》的。 （3）新媒体运营类：具备互联网营销师、全媒体运营师等相关中级及以上职业资格或职称的。 注：须提供有效职称证书、执业资格证书或新闻记者证复印件，以及供应商为其缴纳的近半年内任意一个月的社保缴纳证明。证书扫描件和社保缴纳证明需加盖供应商公章。同一人员具备多项资格的，不重复计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13.团队人员.docx</w:t>
            </w:r>
          </w:p>
        </w:tc>
      </w:tr>
      <w:tr>
        <w:tc>
          <w:tcPr>
            <w:tcW w:type="dxa" w:w="831"/>
            <w:vMerge/>
          </w:tcPr>
          <w:p/>
        </w:tc>
        <w:tc>
          <w:tcPr>
            <w:tcW w:type="dxa" w:w="1661"/>
          </w:tcPr>
          <w:p>
            <w:pPr>
              <w:pStyle w:val="null3"/>
            </w:pPr>
            <w:r>
              <w:rPr>
                <w:rFonts w:ascii="仿宋_GB2312" w:hAnsi="仿宋_GB2312" w:cs="仿宋_GB2312" w:eastAsia="仿宋_GB2312"/>
              </w:rPr>
              <w:t>服务承诺与保障措施</w:t>
            </w:r>
          </w:p>
        </w:tc>
        <w:tc>
          <w:tcPr>
            <w:tcW w:type="dxa" w:w="2492"/>
          </w:tcPr>
          <w:p>
            <w:pPr>
              <w:pStyle w:val="null3"/>
            </w:pPr>
            <w:r>
              <w:rPr>
                <w:rFonts w:ascii="仿宋_GB2312" w:hAnsi="仿宋_GB2312" w:cs="仿宋_GB2312" w:eastAsia="仿宋_GB2312"/>
              </w:rPr>
              <w:t>供应商需提供服务承诺，包括但不限于（1）知识产权归属与合规承诺；（2）专属对接与驻场服务承诺；（3）后期修改与增值服务承诺；（4）履约验收与违约赔付保障。内容完整，逻辑清晰，完全符合本项目要求得8分，以上4项中每缺少一项扣2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14.服务承诺与保障措施.docx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提供供应商2023年07月 01日至今同类项目合同，每提供1 个得4分，最高20分。（以合同签订日期为准） 备注：响应文件中提供合同复印件加盖公章。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价格分统一采用低价优先法计算，即满足磋商文件要求且投标价格最低的投标报价为评标基准价，其价格分为满分。其他投标人的价格分统一按照下列公式计算： 价格分=(评标基准价／投标报价)×20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针对本项目采购人要求的服务内容，包括但不限于（1）政策与定位把控；（2）老龄工作现状与痛点分析；（3）本土化深度挖掘；（4）目标受众阅读需求。内容完整，逻辑清晰，完全符合本项目要求得4分，以上4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6.需求理解.docx</w:t>
            </w:r>
          </w:p>
        </w:tc>
      </w:tr>
      <w:tr>
        <w:tc>
          <w:tcPr>
            <w:tcW w:type="dxa" w:w="831"/>
            <w:vMerge/>
          </w:tcPr>
          <w:p/>
        </w:tc>
        <w:tc>
          <w:tcPr>
            <w:tcW w:type="dxa" w:w="1661"/>
          </w:tcPr>
          <w:p>
            <w:pPr>
              <w:pStyle w:val="null3"/>
            </w:pPr>
            <w:r>
              <w:rPr>
                <w:rFonts w:ascii="仿宋_GB2312" w:hAnsi="仿宋_GB2312" w:cs="仿宋_GB2312" w:eastAsia="仿宋_GB2312"/>
              </w:rPr>
              <w:t>策划方案</w:t>
            </w:r>
          </w:p>
        </w:tc>
        <w:tc>
          <w:tcPr>
            <w:tcW w:type="dxa" w:w="2492"/>
          </w:tcPr>
          <w:p>
            <w:pPr>
              <w:pStyle w:val="null3"/>
            </w:pPr>
            <w:r>
              <w:rPr>
                <w:rFonts w:ascii="仿宋_GB2312" w:hAnsi="仿宋_GB2312" w:cs="仿宋_GB2312" w:eastAsia="仿宋_GB2312"/>
              </w:rPr>
              <w:t>供应商针对本项目提供策划方案，包括但不限于（1）专版栏目核心与导向；（2）专版栏目设置与大纲；（3）版面视觉与适老化设计；（4）重大节点专项策划。内容完整，逻辑清晰，完全符合本项目要求得4分，以上4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7.策划方案.docx</w:t>
            </w:r>
          </w:p>
        </w:tc>
      </w:tr>
      <w:tr>
        <w:tc>
          <w:tcPr>
            <w:tcW w:type="dxa" w:w="831"/>
            <w:vMerge/>
          </w:tcPr>
          <w:p/>
        </w:tc>
        <w:tc>
          <w:tcPr>
            <w:tcW w:type="dxa" w:w="1661"/>
          </w:tcPr>
          <w:p>
            <w:pPr>
              <w:pStyle w:val="null3"/>
            </w:pPr>
            <w:r>
              <w:rPr>
                <w:rFonts w:ascii="仿宋_GB2312" w:hAnsi="仿宋_GB2312" w:cs="仿宋_GB2312" w:eastAsia="仿宋_GB2312"/>
              </w:rPr>
              <w:t>采编方案</w:t>
            </w:r>
          </w:p>
        </w:tc>
        <w:tc>
          <w:tcPr>
            <w:tcW w:type="dxa" w:w="2492"/>
          </w:tcPr>
          <w:p>
            <w:pPr>
              <w:pStyle w:val="null3"/>
            </w:pPr>
            <w:r>
              <w:rPr>
                <w:rFonts w:ascii="仿宋_GB2312" w:hAnsi="仿宋_GB2312" w:cs="仿宋_GB2312" w:eastAsia="仿宋_GB2312"/>
              </w:rPr>
              <w:t>供应商需提供宣传方案，包括但不限于（1）采编全流程（选题、采访、撰稿、编辑、校对、出版）；（2）采访计划与选题储备库；（3）稿件撰写与图片拍摄。内容完整，逻辑清晰，完全符合本项目要求得3分，以上3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8.采编方案.docx</w:t>
            </w:r>
          </w:p>
        </w:tc>
      </w:tr>
      <w:tr>
        <w:tc>
          <w:tcPr>
            <w:tcW w:type="dxa" w:w="831"/>
            <w:vMerge/>
          </w:tcPr>
          <w:p/>
        </w:tc>
        <w:tc>
          <w:tcPr>
            <w:tcW w:type="dxa" w:w="1661"/>
          </w:tcPr>
          <w:p>
            <w:pPr>
              <w:pStyle w:val="null3"/>
            </w:pPr>
            <w:r>
              <w:rPr>
                <w:rFonts w:ascii="仿宋_GB2312" w:hAnsi="仿宋_GB2312" w:cs="仿宋_GB2312" w:eastAsia="仿宋_GB2312"/>
              </w:rPr>
              <w:t>资源保障</w:t>
            </w:r>
          </w:p>
        </w:tc>
        <w:tc>
          <w:tcPr>
            <w:tcW w:type="dxa" w:w="2492"/>
          </w:tcPr>
          <w:p>
            <w:pPr>
              <w:pStyle w:val="null3"/>
            </w:pPr>
            <w:r>
              <w:rPr>
                <w:rFonts w:ascii="仿宋_GB2312" w:hAnsi="仿宋_GB2312" w:cs="仿宋_GB2312" w:eastAsia="仿宋_GB2312"/>
              </w:rPr>
              <w:t>供应商在资源保障方面的能力，包括但不限于（1）采访渠道；（2）专家智库与政策顾问；（3）版权素材保障；（4）行业联通与发行渠道。内容完整，逻辑清晰，完全符合本项目要求得4分，以上4项中每缺少一项扣1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9.资源保障.docx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供应商需提供（1）进度计划与全流程时间节点；（2）重大节点与节假期专项排期计划；（3）各环节工作衔接与流转机制；（4）阶段性进度汇报与里程碑节点。内容完整，逻辑清晰，完全符合本项目要求得4分，以上4项中每缺少一项扣1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10.进度安排.docx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为保证节目质量所制定的质量保障措施，包括但不限于（1）内部多级审核与“三审三校”制度；（2）编校质量量化考核标准；（3）客户沟通反馈与修改响应时效；（4）突发情况下的应急赶工与补救措施。内容完整，逻辑清晰，完全符合本项目要求得4分，以上4项中每缺少一项扣1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11.质量保障措施.docx</w:t>
            </w:r>
          </w:p>
        </w:tc>
      </w:tr>
      <w:tr>
        <w:tc>
          <w:tcPr>
            <w:tcW w:type="dxa" w:w="831"/>
            <w:vMerge/>
          </w:tcPr>
          <w:p/>
        </w:tc>
        <w:tc>
          <w:tcPr>
            <w:tcW w:type="dxa" w:w="1661"/>
          </w:tcPr>
          <w:p>
            <w:pPr>
              <w:pStyle w:val="null3"/>
            </w:pPr>
            <w:r>
              <w:rPr>
                <w:rFonts w:ascii="仿宋_GB2312" w:hAnsi="仿宋_GB2312" w:cs="仿宋_GB2312" w:eastAsia="仿宋_GB2312"/>
              </w:rPr>
              <w:t>风险应对预案</w:t>
            </w:r>
          </w:p>
        </w:tc>
        <w:tc>
          <w:tcPr>
            <w:tcW w:type="dxa" w:w="2492"/>
          </w:tcPr>
          <w:p>
            <w:pPr>
              <w:pStyle w:val="null3"/>
            </w:pPr>
            <w:r>
              <w:rPr>
                <w:rFonts w:ascii="仿宋_GB2312" w:hAnsi="仿宋_GB2312" w:cs="仿宋_GB2312" w:eastAsia="仿宋_GB2312"/>
              </w:rPr>
              <w:t>供应商针对项目可能出现的风险，（1）政策变动与内容导向风险预案；（2）突发事态与敏感事件应对预案；（3）核心人员流失与采编中断预案；（4）知识产权纠纷与版权合规预案。内容完整，逻辑清晰，完全符合本项目要求得4分，以上4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12.风险应对预案.docx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 拟派项目负责人（4分） （1）拟派项目负责人具备高级职称（如高级记者、高级编辑）或相关领域高级从业资格的，得4分；具备中级职称（如主任记者、主任编辑）或相关领域中级从业资格的，得2分；未提供相关职称或资格证明的，不得分。 注：须提供有效职称证书或资格证书复印件，以及供应商为其缴纳的近半年内任意一个月的社保缴纳证明。证书扫描件和社保缴纳证明需加盖供应商公章。 （2）项目经验（6分） 提供近3年（自2023年1月1日起至响应文件提交截止日）内，作为项目负责人或核心成员参与过省级及以上涉老、政务类新闻主编或统筹经验。每提供一个项目得2分，满分6分；不提供不得分。证明材料（如合同关键页、中标通知书或验收证明）加盖公章。 2.团队核心成员（15分） 除项目负责人外，拟派项目团队核心成员具备以下专业资格或职称的，每提供1人得3分，本项最高得15分。 （1）新闻采编类：具备编辑、记者等相关中级及以上职称；或具备新闻采编相关中级及以上职称的；或具备有效《新闻记者证》的。 （2）专职校对人员：具备中级及以上出版专业职称，能独立负责校样的文字技术整理与质量监督检查，确保专版文字零差错。 （3）视觉设计/美编：具有美术、平面设计等相关专业的初级及以上专业技术职称（如工艺美术师），或持有相关职业技能等级证书。 注：须提供有效职称证书、执业资格证书或新闻记者证复印件，以及供应商为其缴纳的近半年内任意一个月的社保缴纳证明。证书扫描件和社保缴纳证明需加盖供应商公章。同一人员具备多项资格的，不重复计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13.团队人员.docx</w:t>
            </w:r>
          </w:p>
        </w:tc>
      </w:tr>
      <w:tr>
        <w:tc>
          <w:tcPr>
            <w:tcW w:type="dxa" w:w="831"/>
            <w:vMerge/>
          </w:tcPr>
          <w:p/>
        </w:tc>
        <w:tc>
          <w:tcPr>
            <w:tcW w:type="dxa" w:w="1661"/>
          </w:tcPr>
          <w:p>
            <w:pPr>
              <w:pStyle w:val="null3"/>
            </w:pPr>
            <w:r>
              <w:rPr>
                <w:rFonts w:ascii="仿宋_GB2312" w:hAnsi="仿宋_GB2312" w:cs="仿宋_GB2312" w:eastAsia="仿宋_GB2312"/>
              </w:rPr>
              <w:t>服务承诺与保障措施</w:t>
            </w:r>
          </w:p>
        </w:tc>
        <w:tc>
          <w:tcPr>
            <w:tcW w:type="dxa" w:w="2492"/>
          </w:tcPr>
          <w:p>
            <w:pPr>
              <w:pStyle w:val="null3"/>
            </w:pPr>
            <w:r>
              <w:rPr>
                <w:rFonts w:ascii="仿宋_GB2312" w:hAnsi="仿宋_GB2312" w:cs="仿宋_GB2312" w:eastAsia="仿宋_GB2312"/>
              </w:rPr>
              <w:t>供应商需提供服务承诺，包括（1）知识产权归属与保密承诺；（2）专属对接保障；（3）售后修改与增值服务承诺；（4）履约验收与违约赔付保障。内容完整，逻辑清晰，完全符合本项目要求得8分，以上4项中每缺少一项扣2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14.服务承诺与保障措施.docx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 07月01日至今同类项目合同，每提供1 个得4分，最高20分。（以合同签订日期为准） 备注：响应文件中提供合同复印件加盖公章。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价格分统一采用低价优先法计算，即满足磋商文件要求且投标价格最低的投标报价为评标基准价，其价格分为满分。其他投标人的价格分统一按照下列公式计算： 价格分=(评标基准价／投标报价)×20v</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详见附件：4.商务应答表.docx</w:t>
      </w:r>
    </w:p>
    <w:p>
      <w:pPr>
        <w:pStyle w:val="null3"/>
        <w:ind w:firstLine="960"/>
      </w:pPr>
      <w:r>
        <w:rPr>
          <w:rFonts w:ascii="仿宋_GB2312" w:hAnsi="仿宋_GB2312" w:cs="仿宋_GB2312" w:eastAsia="仿宋_GB2312"/>
        </w:rPr>
        <w:t>详见附件：5.服务要求应答表.docx</w:t>
      </w:r>
    </w:p>
    <w:p>
      <w:pPr>
        <w:pStyle w:val="null3"/>
        <w:ind w:firstLine="960"/>
      </w:pPr>
      <w:r>
        <w:rPr>
          <w:rFonts w:ascii="仿宋_GB2312" w:hAnsi="仿宋_GB2312" w:cs="仿宋_GB2312" w:eastAsia="仿宋_GB2312"/>
        </w:rPr>
        <w:t>详见附件：6.需求理解.docx</w:t>
      </w:r>
    </w:p>
    <w:p>
      <w:pPr>
        <w:pStyle w:val="null3"/>
        <w:ind w:firstLine="960"/>
      </w:pPr>
      <w:r>
        <w:rPr>
          <w:rFonts w:ascii="仿宋_GB2312" w:hAnsi="仿宋_GB2312" w:cs="仿宋_GB2312" w:eastAsia="仿宋_GB2312"/>
        </w:rPr>
        <w:t>详见附件：7.策划方案.docx</w:t>
      </w:r>
    </w:p>
    <w:p>
      <w:pPr>
        <w:pStyle w:val="null3"/>
        <w:ind w:firstLine="960"/>
      </w:pPr>
      <w:r>
        <w:rPr>
          <w:rFonts w:ascii="仿宋_GB2312" w:hAnsi="仿宋_GB2312" w:cs="仿宋_GB2312" w:eastAsia="仿宋_GB2312"/>
        </w:rPr>
        <w:t>详见附件：8.宣传方案.docx</w:t>
      </w:r>
    </w:p>
    <w:p>
      <w:pPr>
        <w:pStyle w:val="null3"/>
        <w:ind w:firstLine="960"/>
      </w:pPr>
      <w:r>
        <w:rPr>
          <w:rFonts w:ascii="仿宋_GB2312" w:hAnsi="仿宋_GB2312" w:cs="仿宋_GB2312" w:eastAsia="仿宋_GB2312"/>
        </w:rPr>
        <w:t>详见附件：9.节目制作.docx</w:t>
      </w:r>
    </w:p>
    <w:p>
      <w:pPr>
        <w:pStyle w:val="null3"/>
        <w:ind w:firstLine="960"/>
      </w:pPr>
      <w:r>
        <w:rPr>
          <w:rFonts w:ascii="仿宋_GB2312" w:hAnsi="仿宋_GB2312" w:cs="仿宋_GB2312" w:eastAsia="仿宋_GB2312"/>
        </w:rPr>
        <w:t>详见附件：10.进度安排.docx</w:t>
      </w:r>
    </w:p>
    <w:p>
      <w:pPr>
        <w:pStyle w:val="null3"/>
        <w:ind w:firstLine="960"/>
      </w:pPr>
      <w:r>
        <w:rPr>
          <w:rFonts w:ascii="仿宋_GB2312" w:hAnsi="仿宋_GB2312" w:cs="仿宋_GB2312" w:eastAsia="仿宋_GB2312"/>
        </w:rPr>
        <w:t>详见附件：11.质量保障措施.docx</w:t>
      </w:r>
    </w:p>
    <w:p>
      <w:pPr>
        <w:pStyle w:val="null3"/>
        <w:ind w:firstLine="960"/>
      </w:pPr>
      <w:r>
        <w:rPr>
          <w:rFonts w:ascii="仿宋_GB2312" w:hAnsi="仿宋_GB2312" w:cs="仿宋_GB2312" w:eastAsia="仿宋_GB2312"/>
        </w:rPr>
        <w:t>详见附件：12.风险应对预案.docx</w:t>
      </w:r>
    </w:p>
    <w:p>
      <w:pPr>
        <w:pStyle w:val="null3"/>
        <w:ind w:firstLine="960"/>
      </w:pPr>
      <w:r>
        <w:rPr>
          <w:rFonts w:ascii="仿宋_GB2312" w:hAnsi="仿宋_GB2312" w:cs="仿宋_GB2312" w:eastAsia="仿宋_GB2312"/>
        </w:rPr>
        <w:t>详见附件：13.团队人员.docx</w:t>
      </w:r>
    </w:p>
    <w:p>
      <w:pPr>
        <w:pStyle w:val="null3"/>
        <w:ind w:firstLine="960"/>
      </w:pPr>
      <w:r>
        <w:rPr>
          <w:rFonts w:ascii="仿宋_GB2312" w:hAnsi="仿宋_GB2312" w:cs="仿宋_GB2312" w:eastAsia="仿宋_GB2312"/>
        </w:rPr>
        <w:t>详见附件：14.服务承诺与保障措施.docx</w:t>
      </w:r>
    </w:p>
    <w:p>
      <w:pPr>
        <w:pStyle w:val="null3"/>
        <w:ind w:firstLine="960"/>
      </w:pPr>
      <w:r>
        <w:rPr>
          <w:rFonts w:ascii="仿宋_GB2312" w:hAnsi="仿宋_GB2312" w:cs="仿宋_GB2312" w:eastAsia="仿宋_GB2312"/>
        </w:rPr>
        <w:t>详见附件：15.业绩一览表.docx</w:t>
      </w:r>
    </w:p>
    <w:p>
      <w:pPr>
        <w:pStyle w:val="null3"/>
        <w:ind w:firstLine="960"/>
      </w:pPr>
      <w:r>
        <w:rPr>
          <w:rFonts w:ascii="仿宋_GB2312" w:hAnsi="仿宋_GB2312" w:cs="仿宋_GB2312" w:eastAsia="仿宋_GB2312"/>
        </w:rPr>
        <w:t>详见附件：16.供应商认为需要提供的其他资料.docx</w:t>
      </w:r>
    </w:p>
    <w:p>
      <w:pPr>
        <w:pStyle w:val="null3"/>
        <w:ind w:firstLine="960"/>
      </w:pPr>
      <w:r>
        <w:rPr>
          <w:rFonts w:ascii="仿宋_GB2312" w:hAnsi="仿宋_GB2312" w:cs="仿宋_GB2312" w:eastAsia="仿宋_GB2312"/>
        </w:rPr>
        <w:t>详见附件：17.投标保证金保函.docx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详见附件：4.商务应答表.docx</w:t>
      </w:r>
    </w:p>
    <w:p>
      <w:pPr>
        <w:pStyle w:val="null3"/>
        <w:ind w:firstLine="960"/>
      </w:pPr>
      <w:r>
        <w:rPr>
          <w:rFonts w:ascii="仿宋_GB2312" w:hAnsi="仿宋_GB2312" w:cs="仿宋_GB2312" w:eastAsia="仿宋_GB2312"/>
        </w:rPr>
        <w:t>详见附件：5.服务要求应答表.docx</w:t>
      </w:r>
    </w:p>
    <w:p>
      <w:pPr>
        <w:pStyle w:val="null3"/>
        <w:ind w:firstLine="960"/>
      </w:pPr>
      <w:r>
        <w:rPr>
          <w:rFonts w:ascii="仿宋_GB2312" w:hAnsi="仿宋_GB2312" w:cs="仿宋_GB2312" w:eastAsia="仿宋_GB2312"/>
        </w:rPr>
        <w:t>详见附件：6.需求理解.docx</w:t>
      </w:r>
    </w:p>
    <w:p>
      <w:pPr>
        <w:pStyle w:val="null3"/>
        <w:ind w:firstLine="960"/>
      </w:pPr>
      <w:r>
        <w:rPr>
          <w:rFonts w:ascii="仿宋_GB2312" w:hAnsi="仿宋_GB2312" w:cs="仿宋_GB2312" w:eastAsia="仿宋_GB2312"/>
        </w:rPr>
        <w:t>详见附件：7.策划方案.docx</w:t>
      </w:r>
    </w:p>
    <w:p>
      <w:pPr>
        <w:pStyle w:val="null3"/>
        <w:ind w:firstLine="960"/>
      </w:pPr>
      <w:r>
        <w:rPr>
          <w:rFonts w:ascii="仿宋_GB2312" w:hAnsi="仿宋_GB2312" w:cs="仿宋_GB2312" w:eastAsia="仿宋_GB2312"/>
        </w:rPr>
        <w:t>详见附件：8.采编方案.docx</w:t>
      </w:r>
    </w:p>
    <w:p>
      <w:pPr>
        <w:pStyle w:val="null3"/>
        <w:ind w:firstLine="960"/>
      </w:pPr>
      <w:r>
        <w:rPr>
          <w:rFonts w:ascii="仿宋_GB2312" w:hAnsi="仿宋_GB2312" w:cs="仿宋_GB2312" w:eastAsia="仿宋_GB2312"/>
        </w:rPr>
        <w:t>详见附件：9.资源保障.docx</w:t>
      </w:r>
    </w:p>
    <w:p>
      <w:pPr>
        <w:pStyle w:val="null3"/>
        <w:ind w:firstLine="960"/>
      </w:pPr>
      <w:r>
        <w:rPr>
          <w:rFonts w:ascii="仿宋_GB2312" w:hAnsi="仿宋_GB2312" w:cs="仿宋_GB2312" w:eastAsia="仿宋_GB2312"/>
        </w:rPr>
        <w:t>详见附件：10.进度安排.docx</w:t>
      </w:r>
    </w:p>
    <w:p>
      <w:pPr>
        <w:pStyle w:val="null3"/>
        <w:ind w:firstLine="960"/>
      </w:pPr>
      <w:r>
        <w:rPr>
          <w:rFonts w:ascii="仿宋_GB2312" w:hAnsi="仿宋_GB2312" w:cs="仿宋_GB2312" w:eastAsia="仿宋_GB2312"/>
        </w:rPr>
        <w:t>详见附件：11.质量保障措施.docx</w:t>
      </w:r>
    </w:p>
    <w:p>
      <w:pPr>
        <w:pStyle w:val="null3"/>
        <w:ind w:firstLine="960"/>
      </w:pPr>
      <w:r>
        <w:rPr>
          <w:rFonts w:ascii="仿宋_GB2312" w:hAnsi="仿宋_GB2312" w:cs="仿宋_GB2312" w:eastAsia="仿宋_GB2312"/>
        </w:rPr>
        <w:t>详见附件：12.风险应对预案.docx</w:t>
      </w:r>
    </w:p>
    <w:p>
      <w:pPr>
        <w:pStyle w:val="null3"/>
        <w:ind w:firstLine="960"/>
      </w:pPr>
      <w:r>
        <w:rPr>
          <w:rFonts w:ascii="仿宋_GB2312" w:hAnsi="仿宋_GB2312" w:cs="仿宋_GB2312" w:eastAsia="仿宋_GB2312"/>
        </w:rPr>
        <w:t>详见附件：13.团队人员.docx</w:t>
      </w:r>
    </w:p>
    <w:p>
      <w:pPr>
        <w:pStyle w:val="null3"/>
        <w:ind w:firstLine="960"/>
      </w:pPr>
      <w:r>
        <w:rPr>
          <w:rFonts w:ascii="仿宋_GB2312" w:hAnsi="仿宋_GB2312" w:cs="仿宋_GB2312" w:eastAsia="仿宋_GB2312"/>
        </w:rPr>
        <w:t>详见附件：14.服务承诺与保障措施.docx</w:t>
      </w:r>
    </w:p>
    <w:p>
      <w:pPr>
        <w:pStyle w:val="null3"/>
        <w:ind w:firstLine="960"/>
      </w:pPr>
      <w:r>
        <w:rPr>
          <w:rFonts w:ascii="仿宋_GB2312" w:hAnsi="仿宋_GB2312" w:cs="仿宋_GB2312" w:eastAsia="仿宋_GB2312"/>
        </w:rPr>
        <w:t>详见附件：15.业绩一览表.docx</w:t>
      </w:r>
    </w:p>
    <w:p>
      <w:pPr>
        <w:pStyle w:val="null3"/>
        <w:ind w:firstLine="960"/>
      </w:pPr>
      <w:r>
        <w:rPr>
          <w:rFonts w:ascii="仿宋_GB2312" w:hAnsi="仿宋_GB2312" w:cs="仿宋_GB2312" w:eastAsia="仿宋_GB2312"/>
        </w:rPr>
        <w:t>详见附件：16.供应商认为需要提供的其他资料.docx</w:t>
      </w:r>
    </w:p>
    <w:p>
      <w:pPr>
        <w:pStyle w:val="null3"/>
        <w:ind w:firstLine="960"/>
      </w:pPr>
      <w:r>
        <w:rPr>
          <w:rFonts w:ascii="仿宋_GB2312" w:hAnsi="仿宋_GB2312" w:cs="仿宋_GB2312" w:eastAsia="仿宋_GB2312"/>
        </w:rPr>
        <w:t>详见附件：17.投标保证金保函.docx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