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版本号：LZBC2026-1071.3B120260826001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2026年西安市体育科学健身指导“五进”活动便携式健身器材采购(二次)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LZBC2026-1071.3B1</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2026年西安市体育科学健身指导“五进”活动便携式健身器材采购(二次)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LZBC2026-1071.3B1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2026年西安市体育科学健身指导“五进”活动便携式健身器材采购(二次)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2026年西安市体育科学健身指导“五进”活动便携式健身器材采购项目，具体要求详见采购文件。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采购包1（力量类）：属于专门面向中小企业采购。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1、具有独⽴承担⺠事责任能⼒的法⼈、其他组织或⾃然⼈：法⼈需提供合法有效的营业执照，其他组织需 提供合法有效的营业执照（或事业单位法⼈证 书）等证明资料，⾃然⼈须提供⾝份证明。供 应商需在项⽬电⼦化交易系统中按要求上传相 应证明⽂件并进⾏电⼦签章。</w:t>
      </w:r>
    </w:p>
    <w:p>
      <w:pPr>
        <w:pStyle w:val="null3"/>
      </w:pPr>
      <w:r>
        <w:rPr>
          <w:rFonts w:ascii="仿宋_GB2312" w:hAnsi="仿宋_GB2312" w:cs="仿宋_GB2312" w:eastAsia="仿宋_GB2312"/>
        </w:rPr>
        <w:t>2、税收缴纳凭证及社会保险缴纳的凭证：供应商在本项⽬谈判响应⽂件递交截⽌时间前 ⼗⼆个⽉内任意⼀个⽉的税收缴纳凭证及社会 保险缴纳的凭证。依法免税或不需要缴纳社会 保障资⾦的供应商，应提供相应⽂件证明其依 法免税或不需要缴纳社会保障资⾦，供应商需 在项⽬电⼦化交易系统中按要求上传相应证明 ⽂件。</w:t>
      </w:r>
    </w:p>
    <w:p>
      <w:pPr>
        <w:pStyle w:val="null3"/>
      </w:pPr>
      <w:r>
        <w:rPr>
          <w:rFonts w:ascii="仿宋_GB2312" w:hAnsi="仿宋_GB2312" w:cs="仿宋_GB2312" w:eastAsia="仿宋_GB2312"/>
        </w:rPr>
        <w:t>3、财务状况报告：供应商2025年经审计的财务报告（事业法⼈可 提供部⻔决算报告）或基本开⼾银⾏出具的资 信证明或专业担保机构出具的投标担保函，供 应商需在项⽬电⼦化交易系统中按要求上传相 应证明⽂件并进⾏电⼦签章。</w:t>
      </w:r>
    </w:p>
    <w:p>
      <w:pPr>
        <w:pStyle w:val="null3"/>
      </w:pPr>
      <w:r>
        <w:rPr>
          <w:rFonts w:ascii="仿宋_GB2312" w:hAnsi="仿宋_GB2312" w:cs="仿宋_GB2312" w:eastAsia="仿宋_GB2312"/>
        </w:rPr>
        <w:t>4、参加政府采购活动前3年内在经营活动中没有重⼤违法记录的书⾯声明：参加政府采购活动前3年内在经营活动中没有重 ⼤违法记录的书⾯声明； 其中：重⼤违法记录 是指供应商因违法经营受到刑事处罚或者责令 停产停业、吊销许可证或者执照、较⼤数额罚 款等⾏政处罚：参加政府采购活动前3年内在经 营活动中没有重⼤违法记录的书⾯声明，重⼤ 违法记录是指供应商因违法经营受到刑事处罚 或者责令停产停业、吊销许可证或者执照、较 ⼤数额罚款等⾏政处罚。供应商需在项⽬电⼦ 化交易系统中按要求上传相应证明⽂件并进⾏ 电⼦签章。</w:t>
      </w:r>
    </w:p>
    <w:p>
      <w:pPr>
        <w:pStyle w:val="null3"/>
      </w:pPr>
      <w:r>
        <w:rPr>
          <w:rFonts w:ascii="仿宋_GB2312" w:hAnsi="仿宋_GB2312" w:cs="仿宋_GB2312" w:eastAsia="仿宋_GB2312"/>
        </w:rPr>
        <w:t>5、履⾏合同所必需的设备和专业技术能⼒书⾯声明函：履⾏合同所必需的设备和专业技术能⼒书⾯声 明函：供应商应提供履⾏合同所必需的设备和 专业技术能⼒书⾯声明函，供应商需在项⽬电 ⼦化交易系统中按要求上传相应证明⽂件并进 ⾏电⼦签章。</w:t>
      </w:r>
    </w:p>
    <w:p>
      <w:pPr>
        <w:pStyle w:val="null3"/>
      </w:pPr>
      <w:r>
        <w:rPr>
          <w:rFonts w:ascii="仿宋_GB2312" w:hAnsi="仿宋_GB2312" w:cs="仿宋_GB2312" w:eastAsia="仿宋_GB2312"/>
        </w:rPr>
        <w:t>6、信⽤状况：供应商未被列⼊《信⽤中国》失信被执⾏⼈、 重⼤税收违法失信主体、政府采购严重违法失 信⾏为记录名单和《中国政府采购⽹》政府采 购严重违法失信⾏为记录名单。以响应⽂件上 传截⽌时间后当⽇内采购⼈或采购代理机构的 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西安市体育局（本级）经办李安琪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胡敏、易景元、王申午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 代理服务费收费标准：本项⽬收取代理服务费 代理服务费⽤收取对象：中标/成交供应商 代理 服务费收费标准：参照《招标代理服务收费管理暂⾏办法》 (计价格[2002]1980号) 和《关于 招标代理服务收费有关问题的通知》 (发改办价格[2003]857号) 的有关规定以成交⾦额为计算 基数收取。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西安市体育局（本级）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联系人：胡敏、易景元、王申午</w:t>
      </w:r>
    </w:p>
    <w:p>
      <w:pPr>
        <w:pStyle w:val="null3"/>
      </w:pPr>
      <w:r>
        <w:rPr>
          <w:rFonts w:ascii="仿宋_GB2312" w:hAnsi="仿宋_GB2312" w:cs="仿宋_GB2312" w:eastAsia="仿宋_GB2312"/>
        </w:rPr>
        <w:t>联系电话：029-88228899-633</w:t>
      </w:r>
    </w:p>
    <w:p>
      <w:pPr>
        <w:pStyle w:val="null3"/>
      </w:pPr>
      <w:r>
        <w:rPr>
          <w:rFonts w:ascii="仿宋_GB2312" w:hAnsi="仿宋_GB2312" w:cs="仿宋_GB2312" w:eastAsia="仿宋_GB2312"/>
        </w:rPr>
        <w:t>地址：陕西省西安市⾼新区太⽩南路181号A座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体育小器材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标的名称：体育小器材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5"/>
              <w:gridCol w:w="305"/>
              <w:gridCol w:w="1515"/>
              <w:gridCol w:w="223"/>
              <w:gridCol w:w="284"/>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w:t>
                  </w:r>
                  <w:r>
                    <w:rPr>
                      <w:rFonts w:ascii="仿宋_GB2312" w:hAnsi="仿宋_GB2312" w:cs="仿宋_GB2312" w:eastAsia="仿宋_GB2312"/>
                      <w:sz w:val="19"/>
                    </w:rPr>
                    <w:t>号</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w:t>
                  </w:r>
                  <w:r>
                    <w:rPr>
                      <w:rFonts w:ascii="仿宋_GB2312" w:hAnsi="仿宋_GB2312" w:cs="仿宋_GB2312" w:eastAsia="仿宋_GB2312"/>
                      <w:sz w:val="19"/>
                    </w:rPr>
                    <w:t xml:space="preserve">  </w:t>
                  </w:r>
                  <w:r>
                    <w:rPr>
                      <w:rFonts w:ascii="仿宋_GB2312" w:hAnsi="仿宋_GB2312" w:cs="仿宋_GB2312" w:eastAsia="仿宋_GB2312"/>
                      <w:sz w:val="19"/>
                    </w:rPr>
                    <w:t>称</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w:t>
                  </w:r>
                  <w:r>
                    <w:rPr>
                      <w:rFonts w:ascii="仿宋_GB2312" w:hAnsi="仿宋_GB2312" w:cs="仿宋_GB2312" w:eastAsia="仿宋_GB2312"/>
                      <w:sz w:val="19"/>
                    </w:rPr>
                    <w:t xml:space="preserve">  </w:t>
                  </w:r>
                  <w:r>
                    <w:rPr>
                      <w:rFonts w:ascii="仿宋_GB2312" w:hAnsi="仿宋_GB2312" w:cs="仿宋_GB2312" w:eastAsia="仿宋_GB2312"/>
                      <w:sz w:val="19"/>
                    </w:rPr>
                    <w:t>数</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w:t>
                  </w:r>
                  <w:r>
                    <w:rPr>
                      <w:rFonts w:ascii="仿宋_GB2312" w:hAnsi="仿宋_GB2312" w:cs="仿宋_GB2312" w:eastAsia="仿宋_GB2312"/>
                      <w:sz w:val="19"/>
                    </w:rPr>
                    <w:t>量</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w:t>
                  </w:r>
                  <w:r>
                    <w:rPr>
                      <w:rFonts w:ascii="仿宋_GB2312" w:hAnsi="仿宋_GB2312" w:cs="仿宋_GB2312" w:eastAsia="仿宋_GB2312"/>
                      <w:sz w:val="19"/>
                    </w:rPr>
                    <w:t xml:space="preserve">  </w:t>
                  </w:r>
                  <w:r>
                    <w:rPr>
                      <w:rFonts w:ascii="仿宋_GB2312" w:hAnsi="仿宋_GB2312" w:cs="仿宋_GB2312" w:eastAsia="仿宋_GB2312"/>
                      <w:sz w:val="19"/>
                    </w:rPr>
                    <w:t>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第三包：力量类</w:t>
                  </w:r>
                  <w:r>
                    <w:rPr>
                      <w:rFonts w:ascii="仿宋_GB2312" w:hAnsi="仿宋_GB2312" w:cs="仿宋_GB2312" w:eastAsia="仿宋_GB2312"/>
                      <w:sz w:val="19"/>
                    </w:rPr>
                    <w:t xml:space="preserve">  </w:t>
                  </w:r>
                  <w:r>
                    <w:rPr>
                      <w:rFonts w:ascii="仿宋_GB2312" w:hAnsi="仿宋_GB2312" w:cs="仿宋_GB2312" w:eastAsia="仿宋_GB2312"/>
                      <w:sz w:val="19"/>
                    </w:rPr>
                    <w:t>690000元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跳绳</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1.材质:手柄：采用优质ABS防滑塑料材质，一体成型，表面磨砂防滑处理，无毒无异味，抗压耐摔，握持舒适耐用。</w:t>
                  </w:r>
                  <w:r>
                    <w:br/>
                  </w:r>
                  <w:r>
                    <w:rPr>
                      <w:rFonts w:ascii="仿宋_GB2312" w:hAnsi="仿宋_GB2312" w:cs="仿宋_GB2312" w:eastAsia="仿宋_GB2312"/>
                      <w:sz w:val="19"/>
                    </w:rPr>
                    <w:t xml:space="preserve"> 2.绳:采用通用包胶钢丝绳，内层钢丝、外层PVC包胶结构，韧性高、抗拉扯、不易断裂，耐磨防缠绕，不易变形，使用寿命更长。</w:t>
                  </w:r>
                  <w:r>
                    <w:br/>
                  </w:r>
                  <w:r>
                    <w:rPr>
                      <w:rFonts w:ascii="仿宋_GB2312" w:hAnsi="仿宋_GB2312" w:cs="仿宋_GB2312" w:eastAsia="仿宋_GB2312"/>
                      <w:sz w:val="19"/>
                    </w:rPr>
                    <w:t xml:space="preserve"> 3、可调节长度功能：支持绳体长度自由调节，适配不同身高人群使用，通用性强</w:t>
                  </w:r>
                  <w:r>
                    <w:br/>
                  </w:r>
                  <w:r>
                    <w:rPr>
                      <w:rFonts w:ascii="仿宋_GB2312" w:hAnsi="仿宋_GB2312" w:cs="仿宋_GB2312" w:eastAsia="仿宋_GB2312"/>
                      <w:sz w:val="19"/>
                    </w:rPr>
                    <w:t xml:space="preserve"> ★外包装要求：外包装应完整载明生产厂家、产地等必备信息，标识内容合规，满足销售的相关规定。</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自动回弹健腹轮（含地胶垫）</w:t>
                  </w:r>
                </w:p>
                <w:p>
                  <w:pPr>
                    <w:pStyle w:val="null3"/>
                  </w:pPr>
                  <w:r>
                    <w:rPr>
                      <w:rFonts w:ascii="仿宋_GB2312" w:hAnsi="仿宋_GB2312" w:cs="仿宋_GB2312" w:eastAsia="仿宋_GB2312"/>
                      <w:sz w:val="19"/>
                    </w:rPr>
                    <w:t>（核心产品）</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健腹轮:1、材质:塑料、钢管</w:t>
                  </w:r>
                  <w:r>
                    <w:br/>
                  </w:r>
                  <w:r>
                    <w:rPr>
                      <w:rFonts w:ascii="仿宋_GB2312" w:hAnsi="仿宋_GB2312" w:cs="仿宋_GB2312" w:eastAsia="仿宋_GB2312"/>
                      <w:sz w:val="19"/>
                    </w:rPr>
                    <w:t xml:space="preserve"> 2、功能： 自动回弹功能：自带匀速回弹助力，降低训练难度，适配健身新手，有效防护腰部。</w:t>
                  </w:r>
                  <w:r>
                    <w:br/>
                  </w:r>
                  <w:r>
                    <w:rPr>
                      <w:rFonts w:ascii="仿宋_GB2312" w:hAnsi="仿宋_GB2312" w:cs="仿宋_GB2312" w:eastAsia="仿宋_GB2312"/>
                      <w:sz w:val="19"/>
                    </w:rPr>
                    <w:t xml:space="preserve">  静音防滑功能：滚轮静音减震设计，抓地稳固，训练不打滑、不侧翻、无噪音。</w:t>
                  </w:r>
                  <w:r>
                    <w:br/>
                  </w:r>
                  <w:r>
                    <w:rPr>
                      <w:rFonts w:ascii="仿宋_GB2312" w:hAnsi="仿宋_GB2312" w:cs="仿宋_GB2312" w:eastAsia="仿宋_GB2312"/>
                      <w:sz w:val="19"/>
                    </w:rPr>
                    <w:t xml:space="preserve"> 核心训练功能：可锻炼腹部、腰背、肩臂等核心肌群，满足日常塑形、力量训练需求。</w:t>
                  </w:r>
                  <w:r>
                    <w:br/>
                  </w:r>
                  <w:r>
                    <w:rPr>
                      <w:rFonts w:ascii="仿宋_GB2312" w:hAnsi="仿宋_GB2312" w:cs="仿宋_GB2312" w:eastAsia="仿宋_GB2312"/>
                      <w:sz w:val="19"/>
                    </w:rPr>
                    <w:t xml:space="preserve"> 稳定防护功能：多轮稳固结构，受力均匀，有效保护手腕、腰椎，训练安全性高。</w:t>
                  </w:r>
                  <w:r>
                    <w:br/>
                  </w:r>
                  <w:r>
                    <w:rPr>
                      <w:rFonts w:ascii="仿宋_GB2312" w:hAnsi="仿宋_GB2312" w:cs="仿宋_GB2312" w:eastAsia="仿宋_GB2312"/>
                      <w:sz w:val="19"/>
                    </w:rPr>
                    <w:t xml:space="preserve"> 3、 结构形式：一体式多轮稳定结构，免安装，开箱即用，结构牢固不松动</w:t>
                  </w:r>
                  <w:r>
                    <w:br/>
                  </w:r>
                  <w:r>
                    <w:rPr>
                      <w:rFonts w:ascii="仿宋_GB2312" w:hAnsi="仿宋_GB2312" w:cs="仿宋_GB2312" w:eastAsia="仿宋_GB2312"/>
                      <w:sz w:val="19"/>
                    </w:rPr>
                    <w:t xml:space="preserve"> 4、适用场景：家庭、办公室、宿舍等室内平整场地</w:t>
                  </w:r>
                  <w:r>
                    <w:br/>
                  </w:r>
                  <w:r>
                    <w:rPr>
                      <w:rFonts w:ascii="仿宋_GB2312" w:hAnsi="仿宋_GB2312" w:cs="仿宋_GB2312" w:eastAsia="仿宋_GB2312"/>
                      <w:sz w:val="19"/>
                    </w:rPr>
                    <w:t xml:space="preserve"> 地垫：1、地垫尺寸≥900*1000mm</w:t>
                  </w:r>
                  <w:r>
                    <w:br/>
                  </w:r>
                  <w:r>
                    <w:rPr>
                      <w:rFonts w:ascii="仿宋_GB2312" w:hAnsi="仿宋_GB2312" w:cs="仿宋_GB2312" w:eastAsia="仿宋_GB2312"/>
                      <w:sz w:val="19"/>
                    </w:rPr>
                    <w:t xml:space="preserve"> ★2、为保证产品生产稳定性，产品每年测试玻纤含量连续三年≥17%。</w:t>
                  </w:r>
                  <w:r>
                    <w:br/>
                  </w:r>
                  <w:r>
                    <w:rPr>
                      <w:rFonts w:ascii="仿宋_GB2312" w:hAnsi="仿宋_GB2312" w:cs="仿宋_GB2312" w:eastAsia="仿宋_GB2312"/>
                      <w:sz w:val="19"/>
                    </w:rPr>
                    <w:t xml:space="preserve"> ★3、提供连续三个年度产品总体积收缩率≤0.5%的证明。</w:t>
                  </w:r>
                  <w:r>
                    <w:br/>
                  </w:r>
                  <w:r>
                    <w:rPr>
                      <w:rFonts w:ascii="仿宋_GB2312" w:hAnsi="仿宋_GB2312" w:cs="仿宋_GB2312" w:eastAsia="仿宋_GB2312"/>
                      <w:sz w:val="19"/>
                    </w:rPr>
                    <w:t xml:space="preserve"> ★4、产品减震吸收性能良好，孔隙率49.5%-59.5%。</w:t>
                  </w:r>
                  <w:r>
                    <w:br/>
                  </w:r>
                  <w:r>
                    <w:rPr>
                      <w:rFonts w:ascii="仿宋_GB2312" w:hAnsi="仿宋_GB2312" w:cs="仿宋_GB2312" w:eastAsia="仿宋_GB2312"/>
                      <w:sz w:val="19"/>
                    </w:rPr>
                    <w:t xml:space="preserve"> ★5、为保证产品在夏季湿热条件下、冬季湿冷条件下产品稳定不粉化、不破损，经过冷冻箱、干燥箱及其他循环测试18个循环不低于3000h后，外观无粉化、无破损、起皮和分层，灰卡等级一直保持≥5级。</w:t>
                  </w:r>
                  <w:r>
                    <w:br/>
                  </w:r>
                  <w:r>
                    <w:rPr>
                      <w:rFonts w:ascii="仿宋_GB2312" w:hAnsi="仿宋_GB2312" w:cs="仿宋_GB2312" w:eastAsia="仿宋_GB2312"/>
                      <w:sz w:val="19"/>
                    </w:rPr>
                    <w:t xml:space="preserve"> ★6、为全面验证材料配方、工艺合规性及长期耐久性，保障运动安全与舒适性，供应商须提供依据国家标准GB 36246-2018等出具的现场检测报告。要求经自然老化一年前后两次检测，产品拉伸强度指标始终≥0.7MPa，拉断伸长率均≥90%，垂直变形数值均≤3mm，且上述三项指标的变化率均严格不超过10%。</w:t>
                  </w:r>
                  <w:r>
                    <w:br/>
                  </w:r>
                  <w:r>
                    <w:rPr>
                      <w:rFonts w:ascii="仿宋_GB2312" w:hAnsi="仿宋_GB2312" w:cs="仿宋_GB2312" w:eastAsia="仿宋_GB2312"/>
                      <w:sz w:val="19"/>
                    </w:rPr>
                    <w:t xml:space="preserve"> 以上参数必须满足，需提供检测报告扫描件。标注★须提供具有CMA或CNAS标识的检测报告扫描件，否则视为无效投标响应。为保证产品成熟度，以上报告取得时间须为项目挂网前。</w:t>
                  </w:r>
                  <w:r>
                    <w:br/>
                  </w:r>
                  <w:r>
                    <w:rPr>
                      <w:rFonts w:ascii="仿宋_GB2312" w:hAnsi="仿宋_GB2312" w:cs="仿宋_GB2312" w:eastAsia="仿宋_GB2312"/>
                      <w:sz w:val="19"/>
                    </w:rPr>
                    <w:t xml:space="preserve"> ★外包装要求：外包装应完整载明生产厂家、产地等必备信息，标识内容合规，满足销售的相关规定。</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握力圈</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1.材质：采用高弹环保PVC材质，一体成型，无毒无味、安全亲肤、耐磨抗老化。</w:t>
                  </w:r>
                  <w:r>
                    <w:br/>
                  </w:r>
                  <w:r>
                    <w:rPr>
                      <w:rFonts w:ascii="仿宋_GB2312" w:hAnsi="仿宋_GB2312" w:cs="仿宋_GB2312" w:eastAsia="仿宋_GB2312"/>
                      <w:sz w:val="19"/>
                    </w:rPr>
                    <w:t xml:space="preserve"> 2.工艺材质：材质弹性均匀，不易变形、不易断裂，防水耐脏，可水洗反复使用。</w:t>
                  </w:r>
                  <w:r>
                    <w:br/>
                  </w:r>
                  <w:r>
                    <w:rPr>
                      <w:rFonts w:ascii="仿宋_GB2312" w:hAnsi="仿宋_GB2312" w:cs="仿宋_GB2312" w:eastAsia="仿宋_GB2312"/>
                      <w:sz w:val="19"/>
                    </w:rPr>
                    <w:t xml:space="preserve"> 3.性能：回弹均匀、弹力持久，反复挤压不变形、不断裂、不发白。</w:t>
                  </w:r>
                  <w:r>
                    <w:br/>
                  </w:r>
                  <w:r>
                    <w:rPr>
                      <w:rFonts w:ascii="仿宋_GB2312" w:hAnsi="仿宋_GB2312" w:cs="仿宋_GB2312" w:eastAsia="仿宋_GB2312"/>
                      <w:sz w:val="19"/>
                    </w:rPr>
                    <w:t xml:space="preserve"> 4.套装规格：15公斤/20公斤/30公斤各一个</w:t>
                  </w:r>
                  <w:r>
                    <w:br/>
                  </w:r>
                  <w:r>
                    <w:rPr>
                      <w:rFonts w:ascii="仿宋_GB2312" w:hAnsi="仿宋_GB2312" w:cs="仿宋_GB2312" w:eastAsia="仿宋_GB2312"/>
                      <w:sz w:val="19"/>
                    </w:rPr>
                    <w:t xml:space="preserve"> 5.便携多功能：体积小巧、重量轻便，收纳携带方便，居家、办公、出行均可随时训练。</w:t>
                  </w:r>
                  <w:r>
                    <w:br/>
                  </w:r>
                  <w:r>
                    <w:rPr>
                      <w:rFonts w:ascii="仿宋_GB2312" w:hAnsi="仿宋_GB2312" w:cs="仿宋_GB2312" w:eastAsia="仿宋_GB2312"/>
                      <w:sz w:val="19"/>
                    </w:rPr>
                    <w:t xml:space="preserve"> ★外包装要求：外包装应完整载明生产厂家、产地等必备信息，标识内容合规，满足销售的相关规定。</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健身球</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规格参数：单球标准直径45mm，成套2个/套，成人通用尺寸，重量适中，掌心旋转手感流畅，适配大众日常训练把玩。</w:t>
                  </w:r>
                  <w:r>
                    <w:br/>
                  </w:r>
                  <w:r>
                    <w:rPr>
                      <w:rFonts w:ascii="仿宋_GB2312" w:hAnsi="仿宋_GB2312" w:cs="仿宋_GB2312" w:eastAsia="仿宋_GB2312"/>
                      <w:sz w:val="19"/>
                    </w:rPr>
                    <w:t xml:space="preserve"> 2. 产品性能：球体圆润规整、重心均匀，旋转顺滑无卡顿，硬度高、耐磨防锈、不易变形，长期反复使用不褪色、不生锈。</w:t>
                  </w:r>
                  <w:r>
                    <w:br/>
                  </w:r>
                  <w:r>
                    <w:rPr>
                      <w:rFonts w:ascii="仿宋_GB2312" w:hAnsi="仿宋_GB2312" w:cs="仿宋_GB2312" w:eastAsia="仿宋_GB2312"/>
                      <w:sz w:val="19"/>
                    </w:rPr>
                    <w:t xml:space="preserve"> 3. 质量要求：全新正品无瑕疵、无变形、无毛刺、无锈点，抛光均匀光亮，符合民用健身器材通用质量标准，无特殊非标定制设计。</w:t>
                  </w:r>
                  <w:r>
                    <w:br/>
                  </w:r>
                  <w:r>
                    <w:rPr>
                      <w:rFonts w:ascii="仿宋_GB2312" w:hAnsi="仿宋_GB2312" w:cs="仿宋_GB2312" w:eastAsia="仿宋_GB2312"/>
                      <w:sz w:val="19"/>
                    </w:rPr>
                    <w:t xml:space="preserve"> 4.手部力量训练：通过手掌旋转把玩，有效锻炼手指、手掌、手腕及小臂肌群，提升手部握力、灵活性与手部协调性。</w:t>
                  </w:r>
                  <w:r>
                    <w:br/>
                  </w:r>
                  <w:r>
                    <w:rPr>
                      <w:rFonts w:ascii="仿宋_GB2312" w:hAnsi="仿宋_GB2312" w:cs="仿宋_GB2312" w:eastAsia="仿宋_GB2312"/>
                      <w:sz w:val="19"/>
                    </w:rPr>
                    <w:t xml:space="preserve"> ★外包装要求：外包装应完整载明生产厂家、产地等必备信息，标识内容合规，满足销售的相关规定。</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r>
                    <w:br/>
                  </w:r>
                  <w:r>
                    <w:rPr>
                      <w:rFonts w:ascii="仿宋_GB2312" w:hAnsi="仿宋_GB2312" w:cs="仿宋_GB2312" w:eastAsia="仿宋_GB2312"/>
                      <w:sz w:val="19"/>
                    </w:rPr>
                    <w:t xml:space="preserve"> 1、投标人须对本项目所有投标产品（跳绳、自动回弹健腹轮(含地垫)、握力圈、健身球）提供实物样品各一个，样品需密封递交并在外包装上标明项⽬名称、项⽬编号、供应商名称，于2026年9⽉10⽇下午14:00⾄14:30时间段内将样品递交⾄⻰寰项⽬管理咨询有限公司（西安市太⽩南路181号西部电⼦社区A座A区501室内部⼆楼），未提供或者样品不全按⽆效响应处理。</w:t>
                  </w:r>
                  <w:r>
                    <w:br/>
                  </w:r>
                  <w:r>
                    <w:rPr>
                      <w:rFonts w:ascii="仿宋_GB2312" w:hAnsi="仿宋_GB2312" w:cs="仿宋_GB2312" w:eastAsia="仿宋_GB2312"/>
                      <w:sz w:val="19"/>
                    </w:rPr>
                    <w:t xml:space="preserve"> 2、所提供样品须满足本招标文件规定的材质、参数、功能及质量要求。样品将作为评标比对、产品验收的重要依据，否则采购人有权拒收、取消中标资格并追究相关责任。</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进度款，验收合格后乙方向甲方开具全额完税销售发票，甲方在收到发票后，达到付款条件起30个工作日内，支付合同总金额的40.0%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（一）采购项⽬需要落实的政府采购政策： 1.《国务院办公厅关于建⽴政府强制采购节能产品制度的通知》（国办发〔2007〕51号）；2.《财政部司法部关于政府采购⽀持监狱企业发展有关问题的通知》（财库〔2014〕68号）；3.《三部⻔联合发布关于促进残疾⼈就业政府采购政策的通知》（财库〔2017〕141号）；4.《财政部 发展改⾰委 ⽣态环境部 市场监管总局关于调整优化节能产品、环境标志产品政府采购执⾏机制的通知》（财库〔2019〕9号）；5.《关于运⽤政府采购政策⽀持乡村产业振兴的通知》（财库〔2021〕19号）；6.《政府采购促进中⼩企业发展管理办法》（财库〔2020〕46 号）；7.陕西省财政厅关于印发《陕西省中⼩企业政府采购信⽤融资办法》（陕财办采〔2018〕23号）；8.《关于进⼀步加 ⼤政府采购⽀持中⼩企业⼒度的通知》（财库〔2022〕19号）；9.《关于扩⼤政府采购⽀持绿⾊建材促进建筑品质提升政策 实施范围的通知》（财库〔2022〕35号）；10.《国务院办公厅关于在政府采购中实施本国产品标准及相关政策的通知》（国办发〔2025〕34号）。 （⼆）采购标的对应的中⼩企业划分标准所属⾏业为⼯业，⼯业的划型标准为：从业⼈员1000 ⼈以下或营业收⼊40000万元以下的为中⼩微型企业。其中，从业⼈员300⼈及以上，且营业收⼊2000万元及以上的为中型 企业；从业⼈员20⼈及以上，且营业收⼊300万元及以上的为⼩型企业；从业⼈员20⼈以下或营业收⼊300万元以下的为微 型企业。（三）为保证项⽬的服务质量，投标单位⾄多中标1个采购包，评标时将从第1采购包开始依次评审，若投标单位在第1 采购包被评为第1 中标候选⼈，则其在后续采购包中不再被推荐为第⼀中标候选⼈，以此类推。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具有独⽴承担⺠事责任能⼒的法⼈、其他组织或⾃然⼈</w:t>
            </w:r>
          </w:p>
        </w:tc>
        <w:tc>
          <w:tcPr>
            <w:tcW w:type="dxa" w:w="3322"/>
          </w:tcPr>
          <w:p>
            <w:pPr>
              <w:pStyle w:val="null3"/>
            </w:pPr>
            <w:r>
              <w:rPr>
                <w:rFonts w:ascii="仿宋_GB2312" w:hAnsi="仿宋_GB2312" w:cs="仿宋_GB2312" w:eastAsia="仿宋_GB2312"/>
              </w:rPr>
              <w:t>法⼈需提供合法有效的营业执照，其他组织需 提供合法有效的营业执照（或事业单位法⼈证 书）等证明资料，⾃然⼈须提供⾝份证明。供 应商需在项⽬电⼦化交易系统中按要求上传相 应证明⽂件并进⾏电⼦签章。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供应商在本项⽬谈判响应⽂件递交截⽌时间前 ⼗⼆个⽉内任意⼀个⽉的税收缴纳凭证及社会 保险缴纳的凭证。依法免税或不需要缴纳社会 保障资⾦的供应商，应提供相应⽂件证明其依 法免税或不需要缴纳社会保障资⾦，供应商需 在项⽬电⼦化交易系统中按要求上传相应证明 ⽂件。</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供应商2025年经审计的财务报告（事业法⼈可 提供部⻔决算报告）或基本开⼾银⾏出具的资 信证明或专业担保机构出具的投标担保函，供 应商需在项⽬电⼦化交易系统中按要求上传相 应证明⽂件并进⾏电⼦签章。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参加政府采购活动前3年内在经营活动中没有重⼤违法记录的书⾯声明</w:t>
            </w:r>
          </w:p>
        </w:tc>
        <w:tc>
          <w:tcPr>
            <w:tcW w:type="dxa" w:w="3322"/>
          </w:tcPr>
          <w:p>
            <w:pPr>
              <w:pStyle w:val="null3"/>
            </w:pPr>
            <w:r>
              <w:rPr>
                <w:rFonts w:ascii="仿宋_GB2312" w:hAnsi="仿宋_GB2312" w:cs="仿宋_GB2312" w:eastAsia="仿宋_GB2312"/>
              </w:rPr>
              <w:t>参加政府采购活动前3年内在经营活动中没有重 ⼤违法记录的书⾯声明； 其中：重⼤违法记录 是指供应商因违法经营受到刑事处罚或者责令 停产停业、吊销许可证或者执照、较⼤数额罚 款等⾏政处罚：参加政府采购活动前3年内在经 营活动中没有重⼤违法记录的书⾯声明，重⼤ 违法记录是指供应商因违法经营受到刑事处罚 或者责令停产停业、吊销许可证或者执照、较 ⼤数额罚款等⾏政处罚。供应商需在项⽬电⼦ 化交易系统中按要求上传相应证明⽂件并进⾏ 电⼦签章。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履⾏合同所必需的设备和专业技术能⼒书⾯声明函</w:t>
            </w:r>
          </w:p>
        </w:tc>
        <w:tc>
          <w:tcPr>
            <w:tcW w:type="dxa" w:w="3322"/>
          </w:tcPr>
          <w:p>
            <w:pPr>
              <w:pStyle w:val="null3"/>
            </w:pPr>
            <w:r>
              <w:rPr>
                <w:rFonts w:ascii="仿宋_GB2312" w:hAnsi="仿宋_GB2312" w:cs="仿宋_GB2312" w:eastAsia="仿宋_GB2312"/>
              </w:rPr>
              <w:t>履⾏合同所必需的设备和专业技术能⼒书⾯声 明函：供应商应提供履⾏合同所必需的设备和 专业技术能⼒书⾯声明函，供应商需在项⽬电 ⼦化交易系统中按要求上传相应证明⽂件并进 ⾏电⼦签章。</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信⽤状况</w:t>
            </w:r>
          </w:p>
        </w:tc>
        <w:tc>
          <w:tcPr>
            <w:tcW w:type="dxa" w:w="3322"/>
          </w:tcPr>
          <w:p>
            <w:pPr>
              <w:pStyle w:val="null3"/>
            </w:pPr>
            <w:r>
              <w:rPr>
                <w:rFonts w:ascii="仿宋_GB2312" w:hAnsi="仿宋_GB2312" w:cs="仿宋_GB2312" w:eastAsia="仿宋_GB2312"/>
              </w:rPr>
              <w:t>供应商未被列⼊《信⽤中国》失信被执⾏⼈、 重⼤税收违法失信主体、政府采购严重违法失 信⾏为记录名单和《中国政府采购⽹》政府采 购严重违法失信⾏为记录名单。以响应⽂件上 传截⽌时间后当⽇内采购⼈或采购代理机构的 查询结果为准。</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1、授权委托书：符合采购⽂件要求 2、谈判报 价：⽆选择性报价且未超过本包预算价 3、交 货时间：符合采购⽂件要求 4、响应有效期：符 合采购⽂件要求 5、响应⽂件有效性：符合采购 ⽂件要求，且响应⽂件未出现竞争性谈判⽂件 、法律法规规定的⽆效响应情形</w:t>
            </w:r>
          </w:p>
        </w:tc>
        <w:tc>
          <w:tcPr>
            <w:tcW w:type="dxa" w:w="1661"/>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中小企业声明函 残疾人福利性单位声明函 响应文件格式.docx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