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版本号：axzc-202600320260528001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狱内外雨污分流维修工程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axzc-2026003</w:t>
      </w:r>
      <w:r>
        <w:br/>
      </w:r>
      <w:r>
        <w:br/>
      </w:r>
      <w:r>
        <w:br/>
      </w:r>
    </w:p>
    <w:p>
      <w:pPr>
        <w:pStyle w:val="null3"/>
        <w:jc w:val="center"/>
        <w:outlineLvl w:val="2"/>
      </w:pPr>
      <w:r>
        <w:rPr>
          <w:rFonts w:ascii="仿宋_GB2312" w:hAnsi="仿宋_GB2312" w:cs="仿宋_GB2312" w:eastAsia="仿宋_GB2312"/>
          <w:sz w:val="28"/>
          <w:b/>
        </w:rPr>
        <w:t>陕西省汉中监狱</w:t>
      </w:r>
    </w:p>
    <w:p>
      <w:pPr>
        <w:pStyle w:val="null3"/>
        <w:jc w:val="center"/>
        <w:outlineLvl w:val="2"/>
      </w:pPr>
      <w:r>
        <w:rPr>
          <w:rFonts w:ascii="仿宋_GB2312" w:hAnsi="仿宋_GB2312" w:cs="仿宋_GB2312" w:eastAsia="仿宋_GB2312"/>
          <w:sz w:val="28"/>
          <w:b/>
        </w:rPr>
        <w:t>安信项目管理有限公司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安信项目管理有限公司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陕西省汉中监狱</w:t>
      </w:r>
      <w:r>
        <w:rPr>
          <w:rFonts w:ascii="仿宋_GB2312" w:hAnsi="仿宋_GB2312" w:cs="仿宋_GB2312" w:eastAsia="仿宋_GB2312"/>
        </w:rPr>
        <w:t>委托，拟对</w:t>
      </w:r>
      <w:r>
        <w:rPr>
          <w:rFonts w:ascii="仿宋_GB2312" w:hAnsi="仿宋_GB2312" w:cs="仿宋_GB2312" w:eastAsia="仿宋_GB2312"/>
        </w:rPr>
        <w:t>狱内外雨污分流维修工程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axzc-2026003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狱内外雨污分流维修工程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狱内外⾬污分流维修⼯程，施⼯内容具体详⻅⼯程量清单。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采购包1（狱内外雨污分流维修工程）：属于专门面向中小企业采购。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2、企业资质证书：供应商具备建设行政主管部门颁发的市政公用工程施工总承包三级（含三级）及以上资质，同时具备合法有效的安全生产许可证；</w:t>
      </w:r>
    </w:p>
    <w:p>
      <w:pPr>
        <w:pStyle w:val="null3"/>
      </w:pPr>
      <w:r>
        <w:rPr>
          <w:rFonts w:ascii="仿宋_GB2312" w:hAnsi="仿宋_GB2312" w:cs="仿宋_GB2312" w:eastAsia="仿宋_GB2312"/>
        </w:rPr>
        <w:t>3、项目负责人资质要求：供应商拟派项目负责人须在本单位注册，具备市政公用工程专业二级（含二级）以上注册建造师注册证书和有效的安全生产考核合格证书（安全B证），且无参与其他在建项目（提供无参与其他在建工程的承诺函）；</w:t>
      </w:r>
    </w:p>
    <w:p>
      <w:pPr>
        <w:pStyle w:val="null3"/>
      </w:pPr>
      <w:r>
        <w:rPr>
          <w:rFonts w:ascii="仿宋_GB2312" w:hAnsi="仿宋_GB2312" w:cs="仿宋_GB2312" w:eastAsia="仿宋_GB2312"/>
        </w:rPr>
        <w:t>4、财务状况报告：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8、非联合体声明：本项目不接受联合体响应，不允许分包。供应商应提供《非联合体不分包投标声明》，视为独立响应，不分包；</w:t>
      </w:r>
    </w:p>
    <w:p>
      <w:pPr>
        <w:pStyle w:val="null3"/>
      </w:pPr>
      <w:r>
        <w:rPr>
          <w:rFonts w:ascii="仿宋_GB2312" w:hAnsi="仿宋_GB2312" w:cs="仿宋_GB2312" w:eastAsia="仿宋_GB2312"/>
        </w:rPr>
        <w:t>9、信用记录：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10、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11、中小企业声明函：本项目为专门面向中小企业，供应商应提供《中小企业声明函》；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陕西省汉中监狱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陕西省汉中市汉台区老君镇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17791085990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安信项目管理有限公司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汉中市汉台区北关办事处滨江公园壹号11号楼11-A座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13109199190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采购包1：932,999.58元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开户名称：安信项目管理有限公司</w:t>
            </w:r>
          </w:p>
          <w:p>
            <w:pPr>
              <w:pStyle w:val="null3"/>
            </w:pPr>
            <w:r>
              <w:rPr>
                <w:rFonts w:ascii="仿宋_GB2312" w:hAnsi="仿宋_GB2312" w:cs="仿宋_GB2312" w:eastAsia="仿宋_GB2312"/>
              </w:rPr>
              <w:t>开户银行：中信银行汉中分行营业部</w:t>
            </w:r>
          </w:p>
          <w:p>
            <w:pPr>
              <w:pStyle w:val="null3"/>
            </w:pPr>
            <w:r>
              <w:rPr>
                <w:rFonts w:ascii="仿宋_GB2312" w:hAnsi="仿宋_GB2312" w:cs="仿宋_GB2312" w:eastAsia="仿宋_GB2312"/>
              </w:rPr>
              <w:t>银行账号：8111701012300689458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说明：项目竣工验收合格后，此履约保证金转化为质量保证金，缺陷责任期满后采购人无息向成交供应商退还。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代理服务费收费标准：参考国家发展计划委员会计价格【2002】1980 号关于印发《招标代理 服务收费管理暂行办法》及《国家发展和改革委员会办公厅关于招标代理服务收费有关问题的 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陕西省汉中监狱</w:t>
      </w:r>
      <w:r>
        <w:rPr>
          <w:rFonts w:ascii="仿宋_GB2312" w:hAnsi="仿宋_GB2312" w:cs="仿宋_GB2312" w:eastAsia="仿宋_GB2312"/>
        </w:rPr>
        <w:t>和</w:t>
      </w:r>
      <w:r>
        <w:rPr>
          <w:rFonts w:ascii="仿宋_GB2312" w:hAnsi="仿宋_GB2312" w:cs="仿宋_GB2312" w:eastAsia="仿宋_GB2312"/>
        </w:rPr>
        <w:t>安信项目管理有限公司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陕西省汉中监狱</w:t>
      </w:r>
      <w:r>
        <w:rPr>
          <w:rFonts w:ascii="仿宋_GB2312" w:hAnsi="仿宋_GB2312" w:cs="仿宋_GB2312" w:eastAsia="仿宋_GB2312"/>
        </w:rPr>
        <w:t>负责解释。除上述磋商文件内容，其他内容由</w:t>
      </w:r>
      <w:r>
        <w:rPr>
          <w:rFonts w:ascii="仿宋_GB2312" w:hAnsi="仿宋_GB2312" w:cs="仿宋_GB2312" w:eastAsia="仿宋_GB2312"/>
        </w:rPr>
        <w:t>安信项目管理有限公司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陕西省汉中监狱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安信项目管理有限公司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执行国家相关验收标准要求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安信项目管理有限公司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安信项目管理有限公司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安信项目管理有限公司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联系人：庞女士</w:t>
      </w:r>
    </w:p>
    <w:p>
      <w:pPr>
        <w:pStyle w:val="null3"/>
      </w:pPr>
      <w:r>
        <w:rPr>
          <w:rFonts w:ascii="仿宋_GB2312" w:hAnsi="仿宋_GB2312" w:cs="仿宋_GB2312" w:eastAsia="仿宋_GB2312"/>
        </w:rPr>
        <w:t>联系电话：0916-2239231</w:t>
      </w:r>
    </w:p>
    <w:p>
      <w:pPr>
        <w:pStyle w:val="null3"/>
      </w:pPr>
      <w:r>
        <w:rPr>
          <w:rFonts w:ascii="仿宋_GB2312" w:hAnsi="仿宋_GB2312" w:cs="仿宋_GB2312" w:eastAsia="仿宋_GB2312"/>
        </w:rPr>
        <w:t>地址：汉中市汉台区北关办事处滨江公园壹号11号楼11-A座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932,999.58</w:t>
      </w:r>
    </w:p>
    <w:p>
      <w:pPr>
        <w:pStyle w:val="null3"/>
      </w:pPr>
      <w:r>
        <w:rPr>
          <w:rFonts w:ascii="仿宋_GB2312" w:hAnsi="仿宋_GB2312" w:cs="仿宋_GB2312" w:eastAsia="仿宋_GB2312"/>
        </w:rPr>
        <w:t>采购包最高限价（元）: 932,999.58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汉中监狱狱内外雨污分流维修工程施工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932,999.58</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标的名称：汉中监狱狱内外雨污分流维修工程施工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一、项目概况：</w:t>
            </w:r>
            <w:r>
              <w:rPr>
                <w:rFonts w:ascii="仿宋_GB2312" w:hAnsi="仿宋_GB2312" w:cs="仿宋_GB2312" w:eastAsia="仿宋_GB2312"/>
                <w:sz w:val="21"/>
                <w:color w:val="000000"/>
              </w:rPr>
              <w:t>本项目为狱内外雨污分流维修工程</w:t>
            </w:r>
            <w:r>
              <w:rPr>
                <w:rFonts w:ascii="仿宋_GB2312" w:hAnsi="仿宋_GB2312" w:cs="仿宋_GB2312" w:eastAsia="仿宋_GB2312"/>
                <w:sz w:val="21"/>
                <w:color w:val="000000"/>
              </w:rPr>
              <w:t>,工程主要内容包含：拆除管道、新增管道,新增检查井,新增化粪池等。</w:t>
            </w:r>
          </w:p>
          <w:p>
            <w:pPr>
              <w:pStyle w:val="null3"/>
              <w:jc w:val="both"/>
            </w:pPr>
            <w:r>
              <w:rPr>
                <w:rFonts w:ascii="仿宋_GB2312" w:hAnsi="仿宋_GB2312" w:cs="仿宋_GB2312" w:eastAsia="仿宋_GB2312"/>
                <w:sz w:val="21"/>
                <w:color w:val="000000"/>
              </w:rPr>
              <w:t>二、招标范围：施工图设计范围内、工程量清单内的全部内容。</w:t>
            </w:r>
          </w:p>
          <w:p>
            <w:pPr>
              <w:pStyle w:val="null3"/>
              <w:jc w:val="both"/>
            </w:pPr>
            <w:r>
              <w:rPr>
                <w:rFonts w:ascii="仿宋_GB2312" w:hAnsi="仿宋_GB2312" w:cs="仿宋_GB2312" w:eastAsia="仿宋_GB2312"/>
                <w:sz w:val="21"/>
                <w:color w:val="000000"/>
              </w:rPr>
              <w:t>三、工程量清单：详见附件</w:t>
            </w:r>
          </w:p>
          <w:p>
            <w:pPr>
              <w:pStyle w:val="null3"/>
              <w:jc w:val="both"/>
            </w:pPr>
            <w:r>
              <w:rPr>
                <w:rFonts w:ascii="仿宋_GB2312" w:hAnsi="仿宋_GB2312" w:cs="仿宋_GB2312" w:eastAsia="仿宋_GB2312"/>
                <w:sz w:val="21"/>
                <w:color w:val="000000"/>
              </w:rPr>
              <w:t>四、施工工期要求：</w:t>
            </w:r>
            <w:r>
              <w:rPr>
                <w:rFonts w:ascii="仿宋_GB2312" w:hAnsi="仿宋_GB2312" w:cs="仿宋_GB2312" w:eastAsia="仿宋_GB2312"/>
                <w:sz w:val="21"/>
                <w:color w:val="000000"/>
              </w:rPr>
              <w:t>1</w:t>
            </w:r>
            <w:r>
              <w:rPr>
                <w:rFonts w:ascii="仿宋_GB2312" w:hAnsi="仿宋_GB2312" w:cs="仿宋_GB2312" w:eastAsia="仿宋_GB2312"/>
                <w:sz w:val="21"/>
                <w:color w:val="000000"/>
              </w:rPr>
              <w:t>20</w:t>
            </w:r>
            <w:r>
              <w:rPr>
                <w:rFonts w:ascii="仿宋_GB2312" w:hAnsi="仿宋_GB2312" w:cs="仿宋_GB2312" w:eastAsia="仿宋_GB2312"/>
                <w:sz w:val="21"/>
                <w:color w:val="000000"/>
              </w:rPr>
              <w:t>日历天</w:t>
            </w:r>
          </w:p>
          <w:p>
            <w:pPr>
              <w:pStyle w:val="null3"/>
              <w:jc w:val="both"/>
            </w:pPr>
            <w:r>
              <w:rPr>
                <w:rFonts w:ascii="仿宋_GB2312" w:hAnsi="仿宋_GB2312" w:cs="仿宋_GB2312" w:eastAsia="仿宋_GB2312"/>
                <w:sz w:val="21"/>
                <w:color w:val="000000"/>
              </w:rPr>
              <w:t>五、报价要求：本项目报价采用固定综合单价承包，以中标价（中标综合单价）作为合同价的结算依据进行结算，投标供应商自行考虑并承担风险。即现场施工费、现场安全措施费、保险费、服务费、售后服务、外购、外协、配套件、原材料及生产制造、包装、保险、税费、管理、检验、运杂费、装卸费、安装调试、培训、配合、检测验收、图纸资料及保修、施工中产生的一切协调性费用及其他所有费用的总和。工程量清单中存在漏项或某子目工程量计算偏差，竣工结算时按清单计算规则据实调整。投标综合单价一次包定。除国家工程计价政策允许调整外，其他因素发生变化不作调整。</w:t>
            </w:r>
          </w:p>
          <w:p>
            <w:pPr>
              <w:pStyle w:val="null3"/>
              <w:jc w:val="both"/>
            </w:pPr>
            <w:r>
              <w:rPr>
                <w:rFonts w:ascii="仿宋_GB2312" w:hAnsi="仿宋_GB2312" w:cs="仿宋_GB2312" w:eastAsia="仿宋_GB2312"/>
                <w:sz w:val="21"/>
                <w:color w:val="000000"/>
              </w:rPr>
              <w:t>六、实施要求：</w:t>
            </w:r>
            <w:r>
              <w:rPr>
                <w:rFonts w:ascii="仿宋_GB2312" w:hAnsi="仿宋_GB2312" w:cs="仿宋_GB2312" w:eastAsia="仿宋_GB2312"/>
                <w:sz w:val="21"/>
                <w:color w:val="000000"/>
              </w:rPr>
              <w:t>1、质量要求：项目实施必须严格遵守国家及地方相关质量标准与规范，确保工程质量达到合同约定的标准。所有施工材料、设备需符合设计要求及国家质量标准，进场前需进行严格的检验与验收。施工过程中，应实施严格的质量控制措施，包括但不限于定期检查、抽样检测、隐蔽工程验收等，确保各道工序质量合格。工程竣工后，需组织进行全面的质量验收，确保项目满足设计要求及使用功能。2、安全要求：项目实施必须遵守国家及地方安全生产法律法规，建立健全安全生产管理体系。施工现场应设置明显的安全警示标志，配备必要的安全防护设施，确保施工人员及周边居民的安全。定期进行安全教育培训，提高施工人员的安全意识和操作技能。建立健全应急预案，确保在发生安全事故时能够及时有效地进行救援和处理。3、文明施工要求：施工现场应保持整洁有序，合理规划材料堆放区、加工区等，确保施工环境良好。严格控制施工噪音、粉尘、废水等污染物的排放，采取有效措施减少对周边环境的影响。与周边居民和谐相处，服从区政府安保部门管理，确保施工期间的社会稳定。4、工期要求：项目实施应严格按照合同约定的工期进行，确保按时完工。制定详细的施工进度计划，合理安排施工顺序和作业时间，确保各道工序紧密衔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供应商具备建设行政主管部门颁发的市政公用工程施工总承包三级（含三级）及以上资质，同时具备合法有效的安全生产许可证；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供应商拟派项目负责人须在本单位注册，具备市政公用工程专业二级（含二级）以上注册建造师注册证书和有效的安全生产考核合格证书（安全B证），且无参与其他在建项目（提供无参与其他在建工程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 资格部分参考格式.docx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 资格部分参考格式.docx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 资格部分参考格式.docx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本项目为专门面向中小企业，供应商应提供《中小企业声明函》；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 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三处均无遗漏，且与所投项目名称、项目编号、标段（如有）完全一致。</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中小企业声明函 报价函 标的清单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（1）第一次磋商报价表填写符合要求；（2） 计量单位、报价货币均符合磋商文件要求；（3 ）第一次磋商报价未超出采购预算或磋商文件 规定的最高限价。</w:t>
            </w:r>
          </w:p>
        </w:tc>
        <w:tc>
          <w:tcPr>
            <w:tcW w:type="dxa" w:w="1661"/>
          </w:tcPr>
          <w:p>
            <w:pPr>
              <w:pStyle w:val="null3"/>
            </w:pPr>
            <w:r>
              <w:rPr>
                <w:rFonts w:ascii="仿宋_GB2312" w:hAnsi="仿宋_GB2312" w:cs="仿宋_GB2312" w:eastAsia="仿宋_GB2312"/>
              </w:rPr>
              <w:t>已标价工程量清单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 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供应商针对本项目编制完善的施工部署， 内容包含：①施工目标:成本目标、工期目标、质量目标②施工准备：技术准备、材料准备、 机械准备、机具准备③施工平面布置与安排：现场围挡及出入口管理、交通组织安排及道路安排④重点难点工程分析及解决措施排。 1、采购完全满足采购需求，无瑕疵：得16分； 2、内容每存在1处瑕疵：扣1分； 3、未提供或内容存在16处及以上瑕疵：得0分。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供应商针对本项目编制完善的施工进度计划，内容包含：①施工进度计划横道图②进度计划保证措施③工期保证措施。 1、完全满足采购需求，无瑕疵：得9分； 2、内容每存在1处瑕疵：扣1分； 3、未提供或内容存在9处及以上瑕疵：得0分。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供应商针对本项目编制完善的质量保证措施，内容包含：①质量目标管理体系②施工质量的检验制度③确保质量的技术组织措施④施工质量控制措施。 1、完全满足采购需求，无瑕疵：得10分； 2、内容每存在1处瑕疵：扣1分； 3、未提供或内容存在10处及以上瑕疵：得0分。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供应商针对本项目编制完整的安全施工措施，内容包含：①安全生产管理制度②安全施工措施③安全应急预案④安全生产教育。 1、完全满足采购需求，无瑕疵：得5分； 2、方案内容每存在1处瑕疵：扣1分； 3、未提供方案或内容存在5处及以上瑕疵：得0分。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供应商针对本项目编制完整的文明施工措施，内容包含：①文明施工管理目标及技术措施②文明施工现场管理：材料管理、防扰民措施。 1、完全满足采购需求，无瑕疵：得5分； 2、方案内容每存在1处瑕疵：扣1分； 3、未提供方案或内容存在5处及以上瑕疵：得0分。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针对本项目有具体可行的团队配置方案，内容包含：①项目管理机构配备情况②岗位安排及职责③管理制度④相应的协调措施。1、完全满足采购需求，无瑕疵：8分； 2、方案内容每存在1处瑕疵：扣1分； 3、未提供方案或存在8处及以上瑕疵：得0分。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结合本项目的实际，供应商应依据国家相关规定提出工程验收维护方案， 内容包含：①验收方案②维修措施③保修责任及保修承诺。 1、完全满足采购需求，无瑕疵：6分； 2、方案内容每存在1处瑕疵：扣1分； 3、未提供方案或存在6处及以上瑕疵：得0分。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提供2022年1月1日以来类似项目业绩，每提供一个得1分，最高5分，没有不得分。 注：业绩以成交通知书或（协议书或合同）复印件为准。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供应商针对本项目编制应急保障措施，内容包含:①组织指挥与快速响应保障②专业抢修队伍保障。1、完全满足采购需求，无瑕疵：4分； 2、方案内容每存在1处瑕疵：扣1分； 3、未提供方案或存在4处及以上瑕疵：得0分。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根据各供应商针对本项目提供的有利于本项目工作顺利进行的合理化建议。 1、完全满足项目需求，无瑕疵：2分； 2、每存在1处瑕疵：扣1分； 3、存在2处瑕疵及以上瑕疵或未提供方案：得0分。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1、上限为最高限价，即报价大于上最高限价视为无效标； 2、以满足本次竞争性磋商文件要求的最低报价为评审基准价，其价格为满分； 3、投标供应商报价得分=（评审基准价/报价）×30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详见附件：资格部分参考格式.docx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