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64994">
      <w:pPr>
        <w:pStyle w:val="2"/>
        <w:keepNext/>
        <w:keepLines/>
        <w:pageBreakBefore w:val="0"/>
        <w:widowControl w:val="0"/>
        <w:kinsoku/>
        <w:wordWrap/>
        <w:overflowPunct/>
        <w:topLinePunct w:val="0"/>
        <w:autoSpaceDE/>
        <w:autoSpaceDN/>
        <w:bidi w:val="0"/>
        <w:adjustRightInd/>
        <w:snapToGrid/>
        <w:spacing w:before="0" w:after="0"/>
        <w:textAlignment w:val="auto"/>
        <w:rPr>
          <w:rFonts w:hint="eastAsia"/>
          <w:color w:val="auto"/>
          <w:highlight w:val="none"/>
        </w:rPr>
      </w:pPr>
      <w:r>
        <w:rPr>
          <w:rFonts w:hint="eastAsia"/>
          <w:color w:val="auto"/>
          <w:highlight w:val="none"/>
          <w:lang w:val="en-US" w:eastAsia="zh-CN"/>
        </w:rPr>
        <w:t xml:space="preserve"> 服务项目</w:t>
      </w:r>
      <w:r>
        <w:rPr>
          <w:rFonts w:hint="eastAsia"/>
          <w:color w:val="auto"/>
          <w:highlight w:val="none"/>
        </w:rPr>
        <w:t>合同</w:t>
      </w:r>
    </w:p>
    <w:p w14:paraId="73E0B7DD">
      <w:pPr>
        <w:pStyle w:val="2"/>
        <w:keepNext/>
        <w:keepLines/>
        <w:pageBreakBefore w:val="0"/>
        <w:widowControl w:val="0"/>
        <w:numPr>
          <w:ilvl w:val="0"/>
          <w:numId w:val="0"/>
        </w:numPr>
        <w:kinsoku/>
        <w:wordWrap/>
        <w:overflowPunct/>
        <w:topLinePunct w:val="0"/>
        <w:autoSpaceDE/>
        <w:autoSpaceDN/>
        <w:bidi w:val="0"/>
        <w:adjustRightInd/>
        <w:snapToGrid w:val="0"/>
        <w:spacing w:before="0" w:after="0"/>
        <w:jc w:val="center"/>
        <w:textAlignment w:val="auto"/>
        <w:rPr>
          <w:rFonts w:hint="eastAsia"/>
          <w:b w:val="0"/>
          <w:bCs/>
          <w:color w:val="auto"/>
          <w:sz w:val="22"/>
          <w:szCs w:val="20"/>
          <w:highlight w:val="none"/>
        </w:rPr>
      </w:pPr>
    </w:p>
    <w:p w14:paraId="113DCD21">
      <w:pPr>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甲</w:t>
      </w:r>
      <w:r>
        <w:rPr>
          <w:rFonts w:hint="eastAsia" w:ascii="宋体" w:hAnsi="宋体" w:eastAsia="宋体" w:cs="宋体"/>
          <w:color w:val="auto"/>
          <w:sz w:val="24"/>
          <w:szCs w:val="24"/>
          <w:highlight w:val="none"/>
        </w:rPr>
        <w:t xml:space="preserve">    方：</w:t>
      </w:r>
      <w:r>
        <w:rPr>
          <w:rFonts w:hint="eastAsia" w:ascii="宋体" w:hAnsi="宋体" w:cs="宋体"/>
          <w:color w:val="auto"/>
          <w:sz w:val="24"/>
          <w:szCs w:val="24"/>
          <w:highlight w:val="none"/>
          <w:lang w:val="en-US" w:eastAsia="zh-CN"/>
        </w:rPr>
        <w:t>铜川市生态环境局宜君分局</w:t>
      </w:r>
    </w:p>
    <w:p w14:paraId="077DAE7C">
      <w:pPr>
        <w:spacing w:line="360" w:lineRule="auto"/>
        <w:ind w:firstLine="240" w:firstLineChars="1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乙</w:t>
      </w:r>
      <w:r>
        <w:rPr>
          <w:rFonts w:hint="eastAsia" w:ascii="宋体" w:hAnsi="宋体" w:eastAsia="宋体" w:cs="宋体"/>
          <w:color w:val="auto"/>
          <w:sz w:val="24"/>
          <w:szCs w:val="24"/>
          <w:highlight w:val="none"/>
        </w:rPr>
        <w:t xml:space="preserve">    方：</w:t>
      </w:r>
    </w:p>
    <w:p w14:paraId="1A4497D6">
      <w:pPr>
        <w:pStyle w:val="6"/>
        <w:spacing w:line="360" w:lineRule="auto"/>
        <w:ind w:firstLine="480" w:firstLineChars="200"/>
        <w:jc w:val="both"/>
        <w:textAlignment w:val="center"/>
        <w:rPr>
          <w:rFonts w:hint="eastAsia" w:ascii="宋体" w:hAnsi="宋体" w:eastAsia="宋体" w:cs="宋体"/>
          <w:sz w:val="24"/>
          <w:szCs w:val="24"/>
          <w:highlight w:val="none"/>
        </w:rPr>
      </w:pPr>
    </w:p>
    <w:p w14:paraId="029FA4E1">
      <w:pPr>
        <w:pStyle w:val="6"/>
        <w:spacing w:line="360" w:lineRule="auto"/>
        <w:ind w:firstLine="480" w:firstLineChars="200"/>
        <w:jc w:val="both"/>
        <w:textAlignment w:val="center"/>
        <w:rPr>
          <w:rFonts w:hint="eastAsia" w:ascii="宋体" w:hAnsi="宋体" w:eastAsia="宋体" w:cs="宋体"/>
          <w:color w:val="0000FF"/>
          <w:spacing w:val="-18"/>
          <w:sz w:val="24"/>
          <w:szCs w:val="24"/>
          <w:highlight w:val="none"/>
        </w:rPr>
      </w:pPr>
      <w:r>
        <w:rPr>
          <w:rFonts w:hint="eastAsia" w:ascii="宋体" w:hAnsi="宋体" w:eastAsia="宋体" w:cs="宋体"/>
          <w:sz w:val="24"/>
          <w:szCs w:val="24"/>
          <w:highlight w:val="none"/>
        </w:rPr>
        <w:t>甲乙双方在平等自愿的基础上</w:t>
      </w:r>
      <w:r>
        <w:rPr>
          <w:rFonts w:hint="eastAsia" w:hAnsi="宋体" w:cs="宋体"/>
          <w:sz w:val="24"/>
          <w:szCs w:val="24"/>
          <w:highlight w:val="none"/>
          <w:lang w:eastAsia="zh-CN"/>
        </w:rPr>
        <w:t>，</w:t>
      </w:r>
      <w:r>
        <w:rPr>
          <w:rFonts w:hint="eastAsia" w:ascii="宋体" w:hAnsi="宋体" w:eastAsia="宋体" w:cs="宋体"/>
          <w:sz w:val="24"/>
          <w:szCs w:val="24"/>
          <w:highlight w:val="none"/>
        </w:rPr>
        <w:t>就</w:t>
      </w:r>
      <w:r>
        <w:rPr>
          <w:rFonts w:hint="eastAsia" w:ascii="宋体" w:hAnsi="宋体" w:eastAsia="宋体" w:cs="宋体"/>
          <w:sz w:val="24"/>
          <w:szCs w:val="24"/>
          <w:u w:val="single"/>
          <w:lang w:val="en-US" w:eastAsia="zh-CN"/>
        </w:rPr>
        <w:t>宜君县国家重点生态功能区县域生态环境保护管理提升</w:t>
      </w:r>
      <w:r>
        <w:rPr>
          <w:rFonts w:hint="eastAsia" w:ascii="宋体" w:hAnsi="宋体" w:eastAsia="宋体" w:cs="宋体"/>
          <w:color w:val="auto"/>
          <w:sz w:val="24"/>
          <w:szCs w:val="24"/>
          <w:highlight w:val="none"/>
          <w:u w:val="single"/>
          <w:lang w:val="en-US" w:eastAsia="zh-CN"/>
        </w:rPr>
        <w:t>项目</w:t>
      </w:r>
      <w:bookmarkStart w:id="0" w:name="_GoBack"/>
      <w:bookmarkEnd w:id="0"/>
      <w:r>
        <w:rPr>
          <w:rFonts w:hint="eastAsia" w:ascii="宋体" w:hAnsi="宋体" w:eastAsia="宋体" w:cs="宋体"/>
          <w:sz w:val="24"/>
          <w:szCs w:val="24"/>
          <w:highlight w:val="none"/>
        </w:rPr>
        <w:t>协商一致，签订本合同，以资共同遵守。</w:t>
      </w:r>
    </w:p>
    <w:p w14:paraId="7AD34EF8">
      <w:pPr>
        <w:keepNext/>
        <w:keepLines/>
        <w:widowControl w:val="0"/>
        <w:spacing w:line="540" w:lineRule="exact"/>
        <w:ind w:firstLine="482" w:firstLineChars="200"/>
        <w:jc w:val="both"/>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b/>
          <w:bCs/>
          <w:kern w:val="44"/>
          <w:sz w:val="24"/>
          <w:szCs w:val="24"/>
          <w:highlight w:val="none"/>
          <w:lang w:val="en-US" w:eastAsia="zh-CN" w:bidi="ar-SA"/>
        </w:rPr>
        <w:t xml:space="preserve">第一条  </w:t>
      </w:r>
      <w:r>
        <w:rPr>
          <w:rFonts w:hint="eastAsia" w:ascii="宋体" w:hAnsi="宋体" w:eastAsia="宋体" w:cs="宋体"/>
          <w:kern w:val="44"/>
          <w:sz w:val="24"/>
          <w:szCs w:val="24"/>
          <w:highlight w:val="none"/>
          <w:lang w:val="en-US" w:eastAsia="zh-CN" w:bidi="ar-SA"/>
        </w:rPr>
        <w:t>本合同依据下列文件签订</w:t>
      </w:r>
    </w:p>
    <w:p w14:paraId="589D13B4">
      <w:pPr>
        <w:spacing w:line="540" w:lineRule="exact"/>
        <w:ind w:firstLine="482" w:firstLineChars="200"/>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1.1 </w:t>
      </w:r>
      <w:r>
        <w:rPr>
          <w:rFonts w:hint="eastAsia" w:ascii="宋体" w:hAnsi="宋体" w:eastAsia="宋体" w:cs="宋体"/>
          <w:sz w:val="24"/>
          <w:szCs w:val="24"/>
          <w:highlight w:val="none"/>
        </w:rPr>
        <w:t>项目中标通知书</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《中华人民共和国民法典》</w:t>
      </w:r>
      <w:r>
        <w:rPr>
          <w:rFonts w:hint="eastAsia" w:ascii="宋体" w:hAnsi="宋体" w:cs="宋体"/>
          <w:sz w:val="24"/>
          <w:szCs w:val="24"/>
          <w:highlight w:val="none"/>
          <w:lang w:val="en-US" w:eastAsia="zh-CN"/>
        </w:rPr>
        <w:t>及</w:t>
      </w:r>
      <w:r>
        <w:rPr>
          <w:rFonts w:hint="eastAsia" w:ascii="宋体" w:hAnsi="宋体" w:eastAsia="宋体" w:cs="宋体"/>
          <w:sz w:val="24"/>
          <w:szCs w:val="24"/>
          <w:highlight w:val="none"/>
        </w:rPr>
        <w:t>《中华人民共和国政府采购法》等。</w:t>
      </w:r>
    </w:p>
    <w:p w14:paraId="24EBA593">
      <w:pPr>
        <w:spacing w:line="540" w:lineRule="exact"/>
        <w:ind w:firstLine="477" w:firstLineChars="198"/>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1.2  </w:t>
      </w:r>
      <w:r>
        <w:rPr>
          <w:rFonts w:hint="eastAsia" w:ascii="宋体" w:hAnsi="宋体" w:eastAsia="宋体" w:cs="宋体"/>
          <w:sz w:val="24"/>
          <w:szCs w:val="24"/>
          <w:highlight w:val="none"/>
        </w:rPr>
        <w:t xml:space="preserve">国家及地方有关规定等。  </w:t>
      </w:r>
    </w:p>
    <w:p w14:paraId="72494571">
      <w:pPr>
        <w:keepNext/>
        <w:keepLines/>
        <w:widowControl w:val="0"/>
        <w:spacing w:line="540" w:lineRule="exact"/>
        <w:ind w:firstLine="482" w:firstLineChars="200"/>
        <w:jc w:val="both"/>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第二条</w:t>
      </w:r>
      <w:r>
        <w:rPr>
          <w:rFonts w:hint="eastAsia" w:ascii="宋体" w:hAnsi="宋体" w:eastAsia="宋体" w:cs="宋体"/>
          <w:kern w:val="44"/>
          <w:sz w:val="24"/>
          <w:szCs w:val="24"/>
          <w:highlight w:val="none"/>
          <w:lang w:val="en-US" w:eastAsia="zh-CN" w:bidi="ar-SA"/>
        </w:rPr>
        <w:t xml:space="preserve">  本合同技术服务项目的名称、类型、服务内容及标准：</w:t>
      </w:r>
    </w:p>
    <w:tbl>
      <w:tblPr>
        <w:tblStyle w:val="9"/>
        <w:tblW w:w="509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706"/>
        <w:gridCol w:w="2262"/>
        <w:gridCol w:w="1059"/>
        <w:gridCol w:w="4664"/>
      </w:tblGrid>
      <w:tr w14:paraId="77B935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jc w:val="center"/>
        </w:trPr>
        <w:tc>
          <w:tcPr>
            <w:tcW w:w="406" w:type="pct"/>
            <w:noWrap w:val="0"/>
            <w:vAlign w:val="center"/>
          </w:tcPr>
          <w:p w14:paraId="684D428D">
            <w:pPr>
              <w:spacing w:line="360" w:lineRule="auto"/>
              <w:jc w:val="center"/>
              <w:outlineLvl w:val="9"/>
              <w:rPr>
                <w:rFonts w:hint="eastAsia" w:ascii="宋体" w:hAnsi="宋体" w:eastAsia="宋体" w:cs="宋体"/>
                <w:spacing w:val="-20"/>
                <w:sz w:val="24"/>
                <w:szCs w:val="24"/>
                <w:highlight w:val="none"/>
              </w:rPr>
            </w:pPr>
            <w:r>
              <w:rPr>
                <w:rFonts w:hint="eastAsia" w:ascii="宋体" w:hAnsi="宋体" w:eastAsia="宋体" w:cs="宋体"/>
                <w:spacing w:val="-20"/>
                <w:sz w:val="24"/>
                <w:szCs w:val="24"/>
                <w:highlight w:val="none"/>
              </w:rPr>
              <w:t>序号</w:t>
            </w:r>
          </w:p>
        </w:tc>
        <w:tc>
          <w:tcPr>
            <w:tcW w:w="1301" w:type="pct"/>
            <w:noWrap w:val="0"/>
            <w:vAlign w:val="center"/>
          </w:tcPr>
          <w:p w14:paraId="196FA451">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09" w:type="pct"/>
            <w:noWrap w:val="0"/>
            <w:vAlign w:val="center"/>
          </w:tcPr>
          <w:p w14:paraId="5D762A6A">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82" w:type="pct"/>
            <w:noWrap w:val="0"/>
            <w:vAlign w:val="center"/>
          </w:tcPr>
          <w:p w14:paraId="7DD6A14E">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服务内容及标准</w:t>
            </w:r>
          </w:p>
        </w:tc>
      </w:tr>
      <w:tr w14:paraId="22820C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jc w:val="center"/>
        </w:trPr>
        <w:tc>
          <w:tcPr>
            <w:tcW w:w="406" w:type="pct"/>
            <w:noWrap w:val="0"/>
            <w:vAlign w:val="center"/>
          </w:tcPr>
          <w:p w14:paraId="00D605B8">
            <w:pPr>
              <w:jc w:val="center"/>
              <w:outlineLvl w:val="9"/>
              <w:rPr>
                <w:rFonts w:hint="eastAsia" w:ascii="方正仿宋_GB18030" w:hAnsi="方正仿宋_GB18030" w:eastAsia="方正仿宋_GB18030" w:cs="方正仿宋_GB18030"/>
                <w:sz w:val="24"/>
                <w:szCs w:val="24"/>
                <w:highlight w:val="none"/>
                <w:lang w:val="en-US" w:eastAsia="zh-CN"/>
              </w:rPr>
            </w:pPr>
            <w:r>
              <w:rPr>
                <w:rFonts w:hint="eastAsia" w:ascii="方正仿宋_GB18030" w:hAnsi="方正仿宋_GB18030" w:eastAsia="方正仿宋_GB18030" w:cs="方正仿宋_GB18030"/>
                <w:sz w:val="24"/>
                <w:szCs w:val="24"/>
                <w:highlight w:val="none"/>
                <w:lang w:val="en-US" w:eastAsia="zh-CN"/>
              </w:rPr>
              <w:t>1</w:t>
            </w:r>
          </w:p>
        </w:tc>
        <w:tc>
          <w:tcPr>
            <w:tcW w:w="1301" w:type="pct"/>
            <w:noWrap w:val="0"/>
            <w:vAlign w:val="center"/>
          </w:tcPr>
          <w:p w14:paraId="367DB699">
            <w:pPr>
              <w:keepNext/>
              <w:keepLines/>
              <w:widowControl w:val="0"/>
              <w:spacing w:line="540" w:lineRule="exact"/>
              <w:ind w:firstLine="480" w:firstLineChars="200"/>
              <w:jc w:val="both"/>
              <w:outlineLvl w:val="9"/>
              <w:rPr>
                <w:rFonts w:hint="eastAsia" w:ascii="方正仿宋_GB18030" w:hAnsi="方正仿宋_GB18030" w:eastAsia="方正仿宋_GB18030" w:cs="方正仿宋_GB18030"/>
                <w:kern w:val="44"/>
                <w:sz w:val="24"/>
                <w:szCs w:val="24"/>
                <w:highlight w:val="none"/>
                <w:lang w:val="en-US" w:eastAsia="zh-CN" w:bidi="ar-SA"/>
              </w:rPr>
            </w:pPr>
            <w:r>
              <w:rPr>
                <w:rFonts w:hint="eastAsia" w:ascii="宋体" w:hAnsi="宋体" w:eastAsia="宋体" w:cs="宋体"/>
                <w:sz w:val="24"/>
                <w:szCs w:val="24"/>
                <w:u w:val="none"/>
                <w:lang w:val="en-US" w:eastAsia="zh-CN"/>
              </w:rPr>
              <w:t>宜君县国家重点生态功能区县域生态环境保护管理提升</w:t>
            </w:r>
            <w:r>
              <w:rPr>
                <w:rFonts w:hint="eastAsia" w:ascii="宋体" w:hAnsi="宋体" w:eastAsia="宋体" w:cs="宋体"/>
                <w:color w:val="auto"/>
                <w:sz w:val="24"/>
                <w:szCs w:val="24"/>
                <w:highlight w:val="none"/>
                <w:u w:val="none"/>
                <w:lang w:val="en-US" w:eastAsia="zh-CN"/>
              </w:rPr>
              <w:t>项目</w:t>
            </w:r>
          </w:p>
        </w:tc>
        <w:tc>
          <w:tcPr>
            <w:tcW w:w="609" w:type="pct"/>
            <w:noWrap w:val="0"/>
            <w:vAlign w:val="center"/>
          </w:tcPr>
          <w:p w14:paraId="2A9D0589">
            <w:pPr>
              <w:keepNext/>
              <w:keepLines/>
              <w:widowControl w:val="0"/>
              <w:spacing w:line="540" w:lineRule="exact"/>
              <w:jc w:val="center"/>
              <w:outlineLvl w:val="9"/>
              <w:rPr>
                <w:rFonts w:hint="default" w:ascii="宋体" w:hAnsi="宋体" w:eastAsia="宋体" w:cs="宋体"/>
                <w:kern w:val="44"/>
                <w:sz w:val="24"/>
                <w:szCs w:val="24"/>
                <w:highlight w:val="none"/>
                <w:lang w:val="en-US" w:eastAsia="zh-CN" w:bidi="ar-SA"/>
              </w:rPr>
            </w:pPr>
            <w:r>
              <w:rPr>
                <w:rFonts w:hint="eastAsia" w:ascii="宋体" w:hAnsi="宋体" w:eastAsia="宋体" w:cs="宋体"/>
                <w:kern w:val="44"/>
                <w:sz w:val="24"/>
                <w:szCs w:val="24"/>
                <w:highlight w:val="none"/>
                <w:lang w:val="en-US" w:eastAsia="zh-CN" w:bidi="ar-SA"/>
              </w:rPr>
              <w:t>服务</w:t>
            </w:r>
          </w:p>
        </w:tc>
        <w:tc>
          <w:tcPr>
            <w:tcW w:w="2682" w:type="pct"/>
            <w:noWrap w:val="0"/>
            <w:vAlign w:val="center"/>
          </w:tcPr>
          <w:p w14:paraId="2F156826">
            <w:pPr>
              <w:keepNext/>
              <w:keepLines/>
              <w:widowControl w:val="0"/>
              <w:spacing w:line="540" w:lineRule="exact"/>
              <w:ind w:firstLine="480" w:firstLineChars="200"/>
              <w:jc w:val="both"/>
              <w:outlineLvl w:val="9"/>
              <w:rPr>
                <w:rFonts w:hint="default" w:ascii="宋体" w:hAnsi="宋体" w:eastAsia="宋体" w:cs="宋体"/>
                <w:kern w:val="44"/>
                <w:sz w:val="24"/>
                <w:szCs w:val="24"/>
                <w:highlight w:val="none"/>
                <w:lang w:val="en-US" w:eastAsia="zh-CN" w:bidi="ar-SA"/>
              </w:rPr>
            </w:pPr>
            <w:r>
              <w:rPr>
                <w:rFonts w:hint="eastAsia" w:ascii="宋体" w:hAnsi="宋体" w:eastAsia="宋体" w:cs="宋体"/>
                <w:kern w:val="44"/>
                <w:sz w:val="24"/>
                <w:szCs w:val="24"/>
                <w:highlight w:val="none"/>
                <w:lang w:val="en-US" w:eastAsia="zh-CN" w:bidi="ar-SA"/>
              </w:rPr>
              <w:t>结合</w:t>
            </w:r>
            <w:r>
              <w:rPr>
                <w:rFonts w:hint="eastAsia" w:ascii="宋体" w:hAnsi="宋体" w:cs="宋体"/>
                <w:kern w:val="44"/>
                <w:sz w:val="24"/>
                <w:szCs w:val="24"/>
                <w:highlight w:val="none"/>
                <w:lang w:val="en-US" w:eastAsia="zh-CN" w:bidi="ar-SA"/>
              </w:rPr>
              <w:t>宜君</w:t>
            </w:r>
            <w:r>
              <w:rPr>
                <w:rFonts w:hint="eastAsia" w:ascii="宋体" w:hAnsi="宋体" w:eastAsia="宋体" w:cs="宋体"/>
                <w:kern w:val="44"/>
                <w:sz w:val="24"/>
                <w:szCs w:val="24"/>
                <w:highlight w:val="none"/>
                <w:lang w:val="en-US" w:eastAsia="zh-CN" w:bidi="ar-SA"/>
              </w:rPr>
              <w:t>县县域生态环境质量现状，依据《“十四五”国家重点生态功能区县域生态环境质量监测与评价指标体系及实施细则》（环办监测函〔2022〕30号)要求</w:t>
            </w:r>
            <w:r>
              <w:rPr>
                <w:rFonts w:hint="eastAsia" w:ascii="宋体" w:hAnsi="宋体" w:cs="宋体"/>
                <w:kern w:val="44"/>
                <w:sz w:val="24"/>
                <w:szCs w:val="24"/>
                <w:highlight w:val="none"/>
                <w:lang w:val="en-US" w:eastAsia="zh-CN" w:bidi="ar-SA"/>
              </w:rPr>
              <w:t>，完成宜君</w:t>
            </w:r>
            <w:r>
              <w:rPr>
                <w:rFonts w:hint="eastAsia" w:ascii="宋体" w:hAnsi="宋体" w:eastAsia="宋体" w:cs="宋体"/>
                <w:kern w:val="44"/>
                <w:sz w:val="24"/>
                <w:szCs w:val="24"/>
                <w:highlight w:val="none"/>
                <w:lang w:val="en-US" w:eastAsia="zh-CN" w:bidi="ar-SA"/>
              </w:rPr>
              <w:t>县国家重点生态功能区县域生态环境提升</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kern w:val="44"/>
                <w:sz w:val="24"/>
                <w:szCs w:val="24"/>
                <w:highlight w:val="none"/>
                <w:lang w:val="en-US" w:eastAsia="zh-CN" w:bidi="ar-SA"/>
              </w:rPr>
              <w:t>研究报告编制服务</w:t>
            </w:r>
            <w:r>
              <w:rPr>
                <w:rFonts w:hint="eastAsia" w:ascii="宋体" w:hAnsi="宋体" w:cs="宋体"/>
                <w:kern w:val="44"/>
                <w:sz w:val="24"/>
                <w:szCs w:val="24"/>
                <w:highlight w:val="none"/>
                <w:lang w:val="en-US" w:eastAsia="zh-CN" w:bidi="ar-SA"/>
              </w:rPr>
              <w:t>。</w:t>
            </w:r>
          </w:p>
        </w:tc>
      </w:tr>
    </w:tbl>
    <w:p w14:paraId="22D9F938">
      <w:pPr>
        <w:keepNext/>
        <w:keepLines/>
        <w:widowControl w:val="0"/>
        <w:spacing w:line="360" w:lineRule="auto"/>
        <w:ind w:firstLine="482" w:firstLineChars="200"/>
        <w:jc w:val="both"/>
        <w:outlineLvl w:val="9"/>
        <w:rPr>
          <w:rFonts w:hint="eastAsia" w:ascii="宋体" w:hAnsi="宋体" w:eastAsia="宋体" w:cs="宋体"/>
          <w:b/>
          <w:kern w:val="44"/>
          <w:sz w:val="24"/>
          <w:szCs w:val="24"/>
          <w:highlight w:val="none"/>
          <w:lang w:val="en-US" w:eastAsia="zh-CN" w:bidi="ar-SA"/>
        </w:rPr>
      </w:pPr>
    </w:p>
    <w:p w14:paraId="598419BC">
      <w:pPr>
        <w:keepNext/>
        <w:keepLines/>
        <w:widowControl w:val="0"/>
        <w:spacing w:line="360" w:lineRule="auto"/>
        <w:ind w:firstLine="482" w:firstLineChars="200"/>
        <w:jc w:val="both"/>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第三条</w:t>
      </w:r>
      <w:r>
        <w:rPr>
          <w:rFonts w:hint="eastAsia" w:ascii="宋体" w:hAnsi="宋体" w:eastAsia="宋体" w:cs="宋体"/>
          <w:kern w:val="44"/>
          <w:sz w:val="24"/>
          <w:szCs w:val="24"/>
          <w:highlight w:val="none"/>
          <w:lang w:val="en-US" w:eastAsia="zh-CN" w:bidi="ar-SA"/>
        </w:rPr>
        <w:t xml:space="preserve">  甲方向乙方提供的有关资料及文件</w:t>
      </w:r>
    </w:p>
    <w:tbl>
      <w:tblPr>
        <w:tblStyle w:val="9"/>
        <w:tblW w:w="517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749"/>
        <w:gridCol w:w="3941"/>
        <w:gridCol w:w="756"/>
        <w:gridCol w:w="1768"/>
        <w:gridCol w:w="1610"/>
      </w:tblGrid>
      <w:tr w14:paraId="2EE523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jc w:val="center"/>
        </w:trPr>
        <w:tc>
          <w:tcPr>
            <w:tcW w:w="424" w:type="pct"/>
            <w:noWrap w:val="0"/>
            <w:vAlign w:val="center"/>
          </w:tcPr>
          <w:p w14:paraId="2BBE0012">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232" w:type="pct"/>
            <w:noWrap w:val="0"/>
            <w:vAlign w:val="center"/>
          </w:tcPr>
          <w:p w14:paraId="30D55735">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资 料 及 文 件 名 称</w:t>
            </w:r>
          </w:p>
        </w:tc>
        <w:tc>
          <w:tcPr>
            <w:tcW w:w="428" w:type="pct"/>
            <w:noWrap w:val="0"/>
            <w:vAlign w:val="center"/>
          </w:tcPr>
          <w:p w14:paraId="1C98807C">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份数</w:t>
            </w:r>
          </w:p>
        </w:tc>
        <w:tc>
          <w:tcPr>
            <w:tcW w:w="1001" w:type="pct"/>
            <w:noWrap w:val="0"/>
            <w:vAlign w:val="center"/>
          </w:tcPr>
          <w:p w14:paraId="6EDFF098">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内容要求</w:t>
            </w:r>
          </w:p>
        </w:tc>
        <w:tc>
          <w:tcPr>
            <w:tcW w:w="912" w:type="pct"/>
            <w:noWrap w:val="0"/>
            <w:vAlign w:val="center"/>
          </w:tcPr>
          <w:p w14:paraId="27C4FFB4">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提交时间</w:t>
            </w:r>
          </w:p>
        </w:tc>
      </w:tr>
      <w:tr w14:paraId="0748A1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jc w:val="center"/>
        </w:trPr>
        <w:tc>
          <w:tcPr>
            <w:tcW w:w="424" w:type="pct"/>
            <w:noWrap w:val="0"/>
            <w:vAlign w:val="center"/>
          </w:tcPr>
          <w:p w14:paraId="04A3BA3C">
            <w:pPr>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2232" w:type="pct"/>
            <w:noWrap w:val="0"/>
            <w:vAlign w:val="center"/>
          </w:tcPr>
          <w:p w14:paraId="77536A27">
            <w:pPr>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资料清单</w:t>
            </w:r>
          </w:p>
        </w:tc>
        <w:tc>
          <w:tcPr>
            <w:tcW w:w="428" w:type="pct"/>
            <w:noWrap w:val="0"/>
            <w:vAlign w:val="center"/>
          </w:tcPr>
          <w:p w14:paraId="7BCD3E8F">
            <w:pPr>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1001" w:type="pct"/>
            <w:noWrap w:val="0"/>
            <w:vAlign w:val="center"/>
          </w:tcPr>
          <w:p w14:paraId="07097194">
            <w:pPr>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双方商定</w:t>
            </w:r>
          </w:p>
        </w:tc>
        <w:tc>
          <w:tcPr>
            <w:tcW w:w="912" w:type="pct"/>
            <w:noWrap w:val="0"/>
            <w:vAlign w:val="center"/>
          </w:tcPr>
          <w:p w14:paraId="66F14010">
            <w:pPr>
              <w:jc w:val="left"/>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合同签订后一周内</w:t>
            </w:r>
          </w:p>
        </w:tc>
      </w:tr>
    </w:tbl>
    <w:p w14:paraId="52A6FE6D">
      <w:pPr>
        <w:keepNext/>
        <w:keepLines/>
        <w:widowControl w:val="0"/>
        <w:spacing w:line="360" w:lineRule="auto"/>
        <w:ind w:firstLine="482" w:firstLineChars="200"/>
        <w:jc w:val="both"/>
        <w:outlineLvl w:val="9"/>
        <w:rPr>
          <w:rFonts w:hint="eastAsia" w:ascii="宋体" w:hAnsi="宋体" w:eastAsia="宋体" w:cs="宋体"/>
          <w:b/>
          <w:kern w:val="44"/>
          <w:sz w:val="24"/>
          <w:szCs w:val="24"/>
          <w:highlight w:val="none"/>
          <w:lang w:val="en-US" w:eastAsia="zh-CN" w:bidi="ar-SA"/>
        </w:rPr>
      </w:pPr>
    </w:p>
    <w:p w14:paraId="7E69BA62">
      <w:pPr>
        <w:keepNext/>
        <w:keepLines/>
        <w:widowControl w:val="0"/>
        <w:spacing w:line="360" w:lineRule="auto"/>
        <w:ind w:firstLine="482" w:firstLineChars="200"/>
        <w:jc w:val="both"/>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第四条</w:t>
      </w:r>
      <w:r>
        <w:rPr>
          <w:rFonts w:hint="eastAsia" w:ascii="宋体" w:hAnsi="宋体" w:eastAsia="宋体" w:cs="宋体"/>
          <w:kern w:val="44"/>
          <w:sz w:val="24"/>
          <w:szCs w:val="24"/>
          <w:highlight w:val="none"/>
          <w:lang w:val="en-US" w:eastAsia="zh-CN" w:bidi="ar-SA"/>
        </w:rPr>
        <w:t xml:space="preserve">  乙方向甲方交付的服务文件</w:t>
      </w:r>
    </w:p>
    <w:tbl>
      <w:tblPr>
        <w:tblStyle w:val="9"/>
        <w:tblW w:w="510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757"/>
        <w:gridCol w:w="2737"/>
        <w:gridCol w:w="705"/>
        <w:gridCol w:w="2904"/>
        <w:gridCol w:w="1593"/>
      </w:tblGrid>
      <w:tr w14:paraId="7F1CDC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jc w:val="center"/>
        </w:trPr>
        <w:tc>
          <w:tcPr>
            <w:tcW w:w="435" w:type="pct"/>
            <w:noWrap w:val="0"/>
            <w:vAlign w:val="center"/>
          </w:tcPr>
          <w:p w14:paraId="7E4528F4">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573" w:type="pct"/>
            <w:noWrap w:val="0"/>
            <w:vAlign w:val="center"/>
          </w:tcPr>
          <w:p w14:paraId="2E625958">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资 料 及 文 件 名 称</w:t>
            </w:r>
          </w:p>
        </w:tc>
        <w:tc>
          <w:tcPr>
            <w:tcW w:w="405" w:type="pct"/>
            <w:noWrap w:val="0"/>
            <w:vAlign w:val="center"/>
          </w:tcPr>
          <w:p w14:paraId="0D020054">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份数</w:t>
            </w:r>
          </w:p>
        </w:tc>
        <w:tc>
          <w:tcPr>
            <w:tcW w:w="1669" w:type="pct"/>
            <w:noWrap w:val="0"/>
            <w:vAlign w:val="center"/>
          </w:tcPr>
          <w:p w14:paraId="2B014925">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内 容 要 求</w:t>
            </w:r>
          </w:p>
        </w:tc>
        <w:tc>
          <w:tcPr>
            <w:tcW w:w="915" w:type="pct"/>
            <w:noWrap w:val="0"/>
            <w:vAlign w:val="center"/>
          </w:tcPr>
          <w:p w14:paraId="22BD3E61">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提交时间</w:t>
            </w:r>
          </w:p>
        </w:tc>
      </w:tr>
      <w:tr w14:paraId="5F4335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05" w:hRule="atLeast"/>
          <w:jc w:val="center"/>
        </w:trPr>
        <w:tc>
          <w:tcPr>
            <w:tcW w:w="435" w:type="pct"/>
            <w:noWrap w:val="0"/>
            <w:vAlign w:val="center"/>
          </w:tcPr>
          <w:p w14:paraId="1C42DBD0">
            <w:pPr>
              <w:spacing w:line="360" w:lineRule="auto"/>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一</w:t>
            </w:r>
          </w:p>
        </w:tc>
        <w:tc>
          <w:tcPr>
            <w:tcW w:w="1573" w:type="pct"/>
            <w:noWrap w:val="0"/>
            <w:vAlign w:val="center"/>
          </w:tcPr>
          <w:p w14:paraId="68A07D3F">
            <w:pPr>
              <w:keepNext w:val="0"/>
              <w:keepLines w:val="0"/>
              <w:widowControl/>
              <w:suppressLineNumbers w:val="0"/>
              <w:jc w:val="left"/>
              <w:rPr>
                <w:rFonts w:hint="eastAsia" w:ascii="宋体" w:hAnsi="宋体" w:eastAsia="宋体" w:cs="宋体"/>
                <w:sz w:val="24"/>
                <w:szCs w:val="24"/>
                <w:highlight w:val="none"/>
              </w:rPr>
            </w:pPr>
            <w:r>
              <w:rPr>
                <w:rFonts w:ascii="SourceHanSerifCNVF-Medium" w:hAnsi="SourceHanSerifCNVF-Medium" w:eastAsia="SourceHanSerifCNVF-Medium" w:cs="SourceHanSerifCNVF-Medium"/>
                <w:color w:val="000000"/>
                <w:kern w:val="0"/>
                <w:sz w:val="24"/>
                <w:szCs w:val="24"/>
                <w:lang w:val="en-US" w:eastAsia="zh-CN" w:bidi="ar"/>
              </w:rPr>
              <w:t xml:space="preserve">农业⾯源污染防治 </w:t>
            </w:r>
          </w:p>
        </w:tc>
        <w:tc>
          <w:tcPr>
            <w:tcW w:w="405" w:type="pct"/>
            <w:noWrap w:val="0"/>
            <w:vAlign w:val="center"/>
          </w:tcPr>
          <w:p w14:paraId="2043BB49">
            <w:pPr>
              <w:spacing w:line="360" w:lineRule="auto"/>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restart"/>
            <w:noWrap w:val="0"/>
            <w:vAlign w:val="center"/>
          </w:tcPr>
          <w:p w14:paraId="708AAC37">
            <w:pPr>
              <w:pStyle w:val="11"/>
              <w:keepNext w:val="0"/>
              <w:keepLines w:val="0"/>
              <w:pageBreakBefore w:val="0"/>
              <w:widowControl w:val="0"/>
              <w:tabs>
                <w:tab w:val="left" w:pos="2140"/>
              </w:tabs>
              <w:kinsoku/>
              <w:wordWrap/>
              <w:overflowPunct/>
              <w:topLinePunct w:val="0"/>
              <w:autoSpaceDE/>
              <w:autoSpaceDN/>
              <w:bidi w:val="0"/>
              <w:adjustRightInd w:val="0"/>
              <w:snapToGrid w:val="0"/>
              <w:spacing w:before="0" w:line="44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结合</w:t>
            </w:r>
            <w:r>
              <w:rPr>
                <w:rFonts w:hint="eastAsia" w:ascii="宋体" w:hAnsi="宋体" w:cs="宋体"/>
                <w:b w:val="0"/>
                <w:bCs w:val="0"/>
                <w:kern w:val="2"/>
                <w:sz w:val="24"/>
                <w:szCs w:val="24"/>
                <w:highlight w:val="none"/>
                <w:lang w:val="en-US" w:eastAsia="zh-CN" w:bidi="ar-SA"/>
              </w:rPr>
              <w:t>宜君</w:t>
            </w:r>
            <w:r>
              <w:rPr>
                <w:rFonts w:hint="eastAsia" w:ascii="宋体" w:hAnsi="宋体" w:eastAsia="宋体" w:cs="宋体"/>
                <w:b w:val="0"/>
                <w:bCs w:val="0"/>
                <w:kern w:val="2"/>
                <w:sz w:val="24"/>
                <w:szCs w:val="24"/>
                <w:highlight w:val="none"/>
                <w:lang w:val="en-US" w:eastAsia="zh-CN" w:bidi="ar-SA"/>
              </w:rPr>
              <w:t>县实际，最大限度补充、完善重点生态功能区县域生态环境质量监测管理指标印证资料，结合近年实际相关评价失分情况，对症下药，</w:t>
            </w:r>
            <w:r>
              <w:rPr>
                <w:rFonts w:hint="eastAsia" w:ascii="宋体" w:hAnsi="宋体" w:eastAsia="宋体" w:cs="宋体"/>
                <w:b w:val="0"/>
                <w:bCs w:val="0"/>
                <w:sz w:val="24"/>
                <w:szCs w:val="24"/>
                <w:highlight w:val="none"/>
                <w:lang w:val="en-US" w:eastAsia="zh-CN"/>
              </w:rPr>
              <w:t>进行问题诊断，提出改善方案，编制研究报告并通过技术评审，满足</w:t>
            </w:r>
            <w:r>
              <w:rPr>
                <w:rFonts w:hint="eastAsia" w:ascii="宋体" w:hAnsi="宋体" w:eastAsia="宋体" w:cs="宋体"/>
                <w:kern w:val="44"/>
                <w:sz w:val="24"/>
                <w:szCs w:val="24"/>
                <w:highlight w:val="none"/>
                <w:lang w:val="en-US" w:eastAsia="zh-CN" w:bidi="ar-SA"/>
              </w:rPr>
              <w:t>《“十四五”国家重点生态功能区县域生态环境质量监测与评价指标体系及实施细则》（环办监测函〔2022〕30号)</w:t>
            </w:r>
            <w:r>
              <w:rPr>
                <w:rFonts w:hint="eastAsia" w:ascii="宋体" w:hAnsi="宋体" w:cs="宋体"/>
                <w:kern w:val="44"/>
                <w:sz w:val="24"/>
                <w:szCs w:val="24"/>
                <w:highlight w:val="none"/>
                <w:lang w:val="en-US" w:eastAsia="zh-CN" w:bidi="ar-SA"/>
              </w:rPr>
              <w:t>相关标准</w:t>
            </w:r>
            <w:r>
              <w:rPr>
                <w:rFonts w:hint="eastAsia" w:ascii="宋体" w:hAnsi="宋体" w:eastAsia="宋体" w:cs="宋体"/>
                <w:kern w:val="44"/>
                <w:sz w:val="24"/>
                <w:szCs w:val="24"/>
                <w:highlight w:val="none"/>
                <w:lang w:val="en-US" w:eastAsia="zh-CN" w:bidi="ar-SA"/>
              </w:rPr>
              <w:t>要求</w:t>
            </w:r>
            <w:r>
              <w:rPr>
                <w:rFonts w:hint="eastAsia" w:ascii="宋体" w:hAnsi="宋体" w:eastAsia="宋体" w:cs="宋体"/>
                <w:b w:val="0"/>
                <w:bCs w:val="0"/>
                <w:sz w:val="24"/>
                <w:szCs w:val="24"/>
                <w:highlight w:val="none"/>
                <w:lang w:val="en-US" w:eastAsia="zh-CN"/>
              </w:rPr>
              <w:t>。</w:t>
            </w:r>
          </w:p>
        </w:tc>
        <w:tc>
          <w:tcPr>
            <w:tcW w:w="915" w:type="pct"/>
            <w:vMerge w:val="restart"/>
            <w:noWrap w:val="0"/>
            <w:vAlign w:val="center"/>
          </w:tcPr>
          <w:p w14:paraId="4AF977D6">
            <w:pPr>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202</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lang w:val="en-US" w:eastAsia="zh-CN"/>
              </w:rPr>
              <w:t>月30日前完成。</w:t>
            </w:r>
          </w:p>
        </w:tc>
      </w:tr>
      <w:tr w14:paraId="46F84E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17" w:hRule="atLeast"/>
          <w:jc w:val="center"/>
        </w:trPr>
        <w:tc>
          <w:tcPr>
            <w:tcW w:w="435" w:type="pct"/>
            <w:noWrap w:val="0"/>
            <w:vAlign w:val="center"/>
          </w:tcPr>
          <w:p w14:paraId="20289501">
            <w:pPr>
              <w:spacing w:line="360" w:lineRule="auto"/>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二</w:t>
            </w:r>
          </w:p>
        </w:tc>
        <w:tc>
          <w:tcPr>
            <w:tcW w:w="1573" w:type="pct"/>
            <w:noWrap w:val="0"/>
            <w:vAlign w:val="center"/>
          </w:tcPr>
          <w:p w14:paraId="10A9621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highlight w:val="none"/>
              </w:rPr>
            </w:pPr>
            <w:r>
              <w:rPr>
                <w:rFonts w:hint="default" w:ascii="SourceHanSerifCNVF-Medium" w:hAnsi="SourceHanSerifCNVF-Medium" w:eastAsia="SourceHanSerifCNVF-Medium" w:cs="SourceHanSerifCNVF-Medium"/>
                <w:color w:val="000000"/>
                <w:kern w:val="0"/>
                <w:sz w:val="24"/>
                <w:szCs w:val="24"/>
                <w:lang w:val="en-US" w:eastAsia="zh-CN" w:bidi="ar"/>
              </w:rPr>
              <w:t>落实精准治污开展⽣态环境问题诊断分析研究报告编制</w:t>
            </w:r>
          </w:p>
        </w:tc>
        <w:tc>
          <w:tcPr>
            <w:tcW w:w="405" w:type="pct"/>
            <w:noWrap w:val="0"/>
            <w:vAlign w:val="center"/>
          </w:tcPr>
          <w:p w14:paraId="690CF497">
            <w:pPr>
              <w:spacing w:line="360" w:lineRule="auto"/>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continue"/>
            <w:tcBorders/>
            <w:noWrap w:val="0"/>
            <w:vAlign w:val="center"/>
          </w:tcPr>
          <w:p w14:paraId="485A4F2A">
            <w:pPr>
              <w:spacing w:line="360" w:lineRule="auto"/>
              <w:jc w:val="center"/>
              <w:outlineLvl w:val="9"/>
              <w:rPr>
                <w:rFonts w:hint="eastAsia" w:ascii="宋体" w:hAnsi="宋体" w:eastAsia="宋体" w:cs="宋体"/>
                <w:sz w:val="24"/>
                <w:szCs w:val="24"/>
                <w:highlight w:val="none"/>
              </w:rPr>
            </w:pPr>
          </w:p>
        </w:tc>
        <w:tc>
          <w:tcPr>
            <w:tcW w:w="915" w:type="pct"/>
            <w:vMerge w:val="continue"/>
            <w:tcBorders/>
            <w:noWrap w:val="0"/>
            <w:vAlign w:val="center"/>
          </w:tcPr>
          <w:p w14:paraId="5A43EFD6">
            <w:pPr>
              <w:spacing w:line="360" w:lineRule="auto"/>
              <w:jc w:val="center"/>
              <w:outlineLvl w:val="9"/>
              <w:rPr>
                <w:rFonts w:hint="eastAsia" w:ascii="宋体" w:hAnsi="宋体" w:eastAsia="宋体" w:cs="宋体"/>
                <w:color w:val="auto"/>
                <w:sz w:val="24"/>
                <w:szCs w:val="24"/>
                <w:highlight w:val="none"/>
              </w:rPr>
            </w:pPr>
          </w:p>
        </w:tc>
      </w:tr>
      <w:tr w14:paraId="2EA675A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25" w:hRule="atLeast"/>
          <w:jc w:val="center"/>
        </w:trPr>
        <w:tc>
          <w:tcPr>
            <w:tcW w:w="435" w:type="pct"/>
            <w:noWrap w:val="0"/>
            <w:vAlign w:val="center"/>
          </w:tcPr>
          <w:p w14:paraId="7BF4F831">
            <w:pPr>
              <w:spacing w:line="360" w:lineRule="auto"/>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三</w:t>
            </w:r>
          </w:p>
        </w:tc>
        <w:tc>
          <w:tcPr>
            <w:tcW w:w="1573" w:type="pct"/>
            <w:noWrap w:val="0"/>
            <w:vAlign w:val="center"/>
          </w:tcPr>
          <w:p w14:paraId="19867C60">
            <w:pPr>
              <w:keepNext w:val="0"/>
              <w:keepLines w:val="0"/>
              <w:widowControl/>
              <w:suppressLineNumbers w:val="0"/>
              <w:jc w:val="left"/>
              <w:rPr>
                <w:rFonts w:hint="eastAsia" w:ascii="宋体" w:hAnsi="宋体" w:eastAsia="宋体" w:cs="宋体"/>
                <w:sz w:val="24"/>
                <w:szCs w:val="24"/>
                <w:highlight w:val="none"/>
              </w:rPr>
            </w:pPr>
            <w:r>
              <w:rPr>
                <w:rFonts w:hint="default" w:ascii="SourceHanSerifCNVF-Medium" w:hAnsi="SourceHanSerifCNVF-Medium" w:eastAsia="SourceHanSerifCNVF-Medium" w:cs="SourceHanSerifCNVF-Medium"/>
                <w:color w:val="000000"/>
                <w:kern w:val="0"/>
                <w:sz w:val="24"/>
                <w:szCs w:val="24"/>
                <w:lang w:val="en-US" w:eastAsia="zh-CN" w:bidi="ar"/>
              </w:rPr>
              <w:t>落实科学治污提出⽣态环境质量改善提升途径研究报告编制</w:t>
            </w:r>
          </w:p>
        </w:tc>
        <w:tc>
          <w:tcPr>
            <w:tcW w:w="405" w:type="pct"/>
            <w:noWrap w:val="0"/>
            <w:vAlign w:val="center"/>
          </w:tcPr>
          <w:p w14:paraId="01D9C594">
            <w:pPr>
              <w:spacing w:line="360" w:lineRule="auto"/>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continue"/>
            <w:tcBorders/>
            <w:noWrap w:val="0"/>
            <w:vAlign w:val="center"/>
          </w:tcPr>
          <w:p w14:paraId="3BC64CA7">
            <w:pPr>
              <w:spacing w:line="360" w:lineRule="auto"/>
              <w:jc w:val="center"/>
              <w:outlineLvl w:val="9"/>
              <w:rPr>
                <w:rFonts w:hint="eastAsia" w:ascii="宋体" w:hAnsi="宋体" w:eastAsia="宋体" w:cs="宋体"/>
                <w:sz w:val="24"/>
                <w:szCs w:val="24"/>
                <w:highlight w:val="none"/>
              </w:rPr>
            </w:pPr>
          </w:p>
        </w:tc>
        <w:tc>
          <w:tcPr>
            <w:tcW w:w="915" w:type="pct"/>
            <w:vMerge w:val="continue"/>
            <w:tcBorders/>
            <w:noWrap w:val="0"/>
            <w:vAlign w:val="center"/>
          </w:tcPr>
          <w:p w14:paraId="03578EE4">
            <w:pPr>
              <w:spacing w:line="360" w:lineRule="auto"/>
              <w:jc w:val="both"/>
              <w:outlineLvl w:val="9"/>
              <w:rPr>
                <w:rFonts w:hint="eastAsia" w:ascii="宋体" w:hAnsi="宋体" w:eastAsia="宋体" w:cs="宋体"/>
                <w:color w:val="auto"/>
                <w:sz w:val="24"/>
                <w:szCs w:val="24"/>
                <w:highlight w:val="none"/>
              </w:rPr>
            </w:pPr>
          </w:p>
        </w:tc>
      </w:tr>
      <w:tr w14:paraId="2C27F8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306" w:hRule="atLeast"/>
          <w:jc w:val="center"/>
        </w:trPr>
        <w:tc>
          <w:tcPr>
            <w:tcW w:w="435" w:type="pct"/>
            <w:noWrap w:val="0"/>
            <w:vAlign w:val="center"/>
          </w:tcPr>
          <w:p w14:paraId="18B62970">
            <w:pPr>
              <w:spacing w:line="360" w:lineRule="auto"/>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四</w:t>
            </w:r>
          </w:p>
        </w:tc>
        <w:tc>
          <w:tcPr>
            <w:tcW w:w="1573" w:type="pct"/>
            <w:noWrap w:val="0"/>
            <w:vAlign w:val="center"/>
          </w:tcPr>
          <w:p w14:paraId="78D6FB4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highlight w:val="none"/>
              </w:rPr>
            </w:pPr>
            <w:r>
              <w:rPr>
                <w:rFonts w:hint="default" w:ascii="SourceHanSerifCNVF-Medium" w:hAnsi="SourceHanSerifCNVF-Medium" w:eastAsia="SourceHanSerifCNVF-Medium" w:cs="SourceHanSerifCNVF-Medium"/>
                <w:color w:val="000000"/>
                <w:kern w:val="0"/>
                <w:sz w:val="24"/>
                <w:szCs w:val="24"/>
                <w:lang w:val="en-US" w:eastAsia="zh-CN" w:bidi="ar"/>
              </w:rPr>
              <w:t>三线⼀单</w:t>
            </w:r>
            <w:r>
              <w:rPr>
                <w:rFonts w:hint="default" w:ascii="DejaVuSans" w:hAnsi="DejaVuSans" w:eastAsia="DejaVuSans" w:cs="DejaVuSans"/>
                <w:color w:val="000000"/>
                <w:kern w:val="0"/>
                <w:sz w:val="24"/>
                <w:szCs w:val="24"/>
                <w:lang w:val="en-US" w:eastAsia="zh-CN" w:bidi="ar"/>
              </w:rPr>
              <w:t>”</w:t>
            </w:r>
            <w:r>
              <w:rPr>
                <w:rFonts w:hint="default" w:ascii="SourceHanSerifCNVF-Medium" w:hAnsi="SourceHanSerifCNVF-Medium" w:eastAsia="SourceHanSerifCNVF-Medium" w:cs="SourceHanSerifCNVF-Medium"/>
                <w:color w:val="000000"/>
                <w:kern w:val="0"/>
                <w:sz w:val="24"/>
                <w:szCs w:val="24"/>
                <w:lang w:val="en-US" w:eastAsia="zh-CN" w:bidi="ar"/>
              </w:rPr>
              <w:t>⽣态环境分区管控实施⽅案及准⼊清单编制</w:t>
            </w:r>
          </w:p>
        </w:tc>
        <w:tc>
          <w:tcPr>
            <w:tcW w:w="405" w:type="pct"/>
            <w:noWrap w:val="0"/>
            <w:vAlign w:val="center"/>
          </w:tcPr>
          <w:p w14:paraId="0BBE8B8F">
            <w:pPr>
              <w:spacing w:line="360" w:lineRule="auto"/>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continue"/>
            <w:tcBorders/>
            <w:noWrap w:val="0"/>
            <w:vAlign w:val="center"/>
          </w:tcPr>
          <w:p w14:paraId="0E725A8E">
            <w:pPr>
              <w:spacing w:line="360" w:lineRule="auto"/>
              <w:jc w:val="center"/>
              <w:outlineLvl w:val="9"/>
              <w:rPr>
                <w:rFonts w:hint="eastAsia" w:ascii="宋体" w:hAnsi="宋体" w:eastAsia="宋体" w:cs="宋体"/>
                <w:sz w:val="24"/>
                <w:szCs w:val="24"/>
                <w:highlight w:val="none"/>
              </w:rPr>
            </w:pPr>
          </w:p>
        </w:tc>
        <w:tc>
          <w:tcPr>
            <w:tcW w:w="915" w:type="pct"/>
            <w:vMerge w:val="continue"/>
            <w:tcBorders>
              <w:bottom w:val="single" w:color="auto" w:sz="4" w:space="0"/>
            </w:tcBorders>
            <w:noWrap w:val="0"/>
            <w:vAlign w:val="center"/>
          </w:tcPr>
          <w:p w14:paraId="07BF387D">
            <w:pPr>
              <w:spacing w:line="360" w:lineRule="auto"/>
              <w:jc w:val="center"/>
              <w:outlineLvl w:val="9"/>
              <w:rPr>
                <w:rFonts w:hint="eastAsia" w:ascii="宋体" w:hAnsi="宋体" w:eastAsia="宋体" w:cs="宋体"/>
                <w:sz w:val="24"/>
                <w:szCs w:val="24"/>
                <w:highlight w:val="none"/>
              </w:rPr>
            </w:pPr>
          </w:p>
        </w:tc>
      </w:tr>
      <w:tr w14:paraId="46032F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92" w:hRule="atLeast"/>
          <w:jc w:val="center"/>
        </w:trPr>
        <w:tc>
          <w:tcPr>
            <w:tcW w:w="435" w:type="pct"/>
            <w:noWrap w:val="0"/>
            <w:vAlign w:val="center"/>
          </w:tcPr>
          <w:p w14:paraId="36636B75">
            <w:pPr>
              <w:spacing w:line="360" w:lineRule="auto"/>
              <w:jc w:val="center"/>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五</w:t>
            </w:r>
          </w:p>
        </w:tc>
        <w:tc>
          <w:tcPr>
            <w:tcW w:w="1573" w:type="pct"/>
            <w:noWrap w:val="0"/>
            <w:vAlign w:val="center"/>
          </w:tcPr>
          <w:p w14:paraId="7D76C942">
            <w:pPr>
              <w:keepNext w:val="0"/>
              <w:keepLines w:val="0"/>
              <w:widowControl/>
              <w:suppressLineNumbers w:val="0"/>
              <w:jc w:val="left"/>
              <w:rPr>
                <w:rFonts w:hint="eastAsia" w:ascii="宋体" w:hAnsi="宋体" w:eastAsia="宋体" w:cs="宋体"/>
                <w:sz w:val="24"/>
                <w:szCs w:val="24"/>
                <w:highlight w:val="none"/>
              </w:rPr>
            </w:pPr>
            <w:r>
              <w:rPr>
                <w:rFonts w:hint="default" w:ascii="SourceHanSerifCNVF-Medium" w:hAnsi="SourceHanSerifCNVF-Medium" w:eastAsia="SourceHanSerifCNVF-Medium" w:cs="SourceHanSerifCNVF-Medium"/>
                <w:color w:val="000000"/>
                <w:kern w:val="0"/>
                <w:sz w:val="24"/>
                <w:szCs w:val="24"/>
                <w:lang w:val="en-US" w:eastAsia="zh-CN" w:bidi="ar"/>
              </w:rPr>
              <w:t>绿⾊协调发展管理指标综合提升研究报告编制</w:t>
            </w:r>
          </w:p>
        </w:tc>
        <w:tc>
          <w:tcPr>
            <w:tcW w:w="405" w:type="pct"/>
            <w:noWrap w:val="0"/>
            <w:vAlign w:val="center"/>
          </w:tcPr>
          <w:p w14:paraId="3B2B7C41">
            <w:pPr>
              <w:spacing w:line="360" w:lineRule="auto"/>
              <w:jc w:val="center"/>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continue"/>
            <w:tcBorders/>
            <w:noWrap w:val="0"/>
            <w:vAlign w:val="center"/>
          </w:tcPr>
          <w:p w14:paraId="05EEE64E">
            <w:pPr>
              <w:spacing w:line="360" w:lineRule="auto"/>
              <w:jc w:val="center"/>
              <w:outlineLvl w:val="9"/>
              <w:rPr>
                <w:rFonts w:hint="eastAsia" w:ascii="宋体" w:hAnsi="宋体" w:eastAsia="宋体" w:cs="宋体"/>
                <w:sz w:val="24"/>
                <w:szCs w:val="24"/>
                <w:highlight w:val="none"/>
              </w:rPr>
            </w:pPr>
          </w:p>
        </w:tc>
        <w:tc>
          <w:tcPr>
            <w:tcW w:w="915" w:type="pct"/>
            <w:vMerge w:val="restart"/>
            <w:tcBorders>
              <w:top w:val="single" w:color="auto" w:sz="4" w:space="0"/>
            </w:tcBorders>
            <w:noWrap w:val="0"/>
            <w:vAlign w:val="center"/>
          </w:tcPr>
          <w:p w14:paraId="04656129">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b w:val="0"/>
                <w:bCs w:val="0"/>
                <w:color w:val="auto"/>
                <w:sz w:val="24"/>
                <w:szCs w:val="24"/>
                <w:highlight w:val="none"/>
                <w:lang w:val="en-US" w:eastAsia="zh-CN"/>
              </w:rPr>
              <w:t>202</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12</w:t>
            </w:r>
            <w:r>
              <w:rPr>
                <w:rFonts w:hint="eastAsia" w:ascii="宋体" w:hAnsi="宋体" w:eastAsia="宋体" w:cs="宋体"/>
                <w:b w:val="0"/>
                <w:bCs w:val="0"/>
                <w:color w:val="auto"/>
                <w:sz w:val="24"/>
                <w:szCs w:val="24"/>
                <w:highlight w:val="none"/>
                <w:lang w:val="en-US" w:eastAsia="zh-CN"/>
              </w:rPr>
              <w:t>月30日前完成</w:t>
            </w:r>
          </w:p>
        </w:tc>
      </w:tr>
      <w:tr w14:paraId="17FCB7E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92" w:hRule="atLeast"/>
          <w:jc w:val="center"/>
        </w:trPr>
        <w:tc>
          <w:tcPr>
            <w:tcW w:w="435" w:type="pct"/>
            <w:noWrap w:val="0"/>
            <w:vAlign w:val="center"/>
          </w:tcPr>
          <w:p w14:paraId="78C830E9">
            <w:pPr>
              <w:spacing w:line="360" w:lineRule="auto"/>
              <w:jc w:val="center"/>
              <w:outlineLvl w:val="9"/>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六</w:t>
            </w:r>
          </w:p>
        </w:tc>
        <w:tc>
          <w:tcPr>
            <w:tcW w:w="1573" w:type="pct"/>
            <w:noWrap w:val="0"/>
            <w:vAlign w:val="center"/>
          </w:tcPr>
          <w:p w14:paraId="30D9EB09">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SourceHanSerifCNVF-Medium" w:hAnsi="SourceHanSerifCNVF-Medium" w:eastAsia="SourceHanSerifCNVF-Medium" w:cs="SourceHanSerifCNVF-Medium"/>
                <w:color w:val="000000"/>
                <w:kern w:val="0"/>
                <w:sz w:val="24"/>
                <w:szCs w:val="24"/>
                <w:lang w:val="en-US" w:eastAsia="zh-CN" w:bidi="ar"/>
              </w:rPr>
            </w:pPr>
            <w:r>
              <w:rPr>
                <w:rFonts w:hint="default" w:ascii="SourceHanSerifCNVF-Medium" w:hAnsi="SourceHanSerifCNVF-Medium" w:eastAsia="SourceHanSerifCNVF-Medium" w:cs="SourceHanSerifCNVF-Medium"/>
                <w:color w:val="000000"/>
                <w:kern w:val="0"/>
                <w:sz w:val="24"/>
                <w:szCs w:val="24"/>
                <w:lang w:val="en-US" w:eastAsia="zh-CN" w:bidi="ar"/>
              </w:rPr>
              <w:t>城乡⼈居环境管理指标综合提升研究报告编制</w:t>
            </w:r>
          </w:p>
        </w:tc>
        <w:tc>
          <w:tcPr>
            <w:tcW w:w="405" w:type="pct"/>
            <w:noWrap w:val="0"/>
            <w:vAlign w:val="center"/>
          </w:tcPr>
          <w:p w14:paraId="642DD2DF">
            <w:pPr>
              <w:spacing w:line="360" w:lineRule="auto"/>
              <w:jc w:val="center"/>
              <w:outlineLvl w:val="9"/>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continue"/>
            <w:tcBorders/>
            <w:noWrap w:val="0"/>
            <w:vAlign w:val="center"/>
          </w:tcPr>
          <w:p w14:paraId="021A26B2">
            <w:pPr>
              <w:spacing w:line="360" w:lineRule="auto"/>
              <w:jc w:val="center"/>
              <w:outlineLvl w:val="9"/>
              <w:rPr>
                <w:rFonts w:hint="eastAsia" w:ascii="宋体" w:hAnsi="宋体" w:eastAsia="宋体" w:cs="宋体"/>
                <w:sz w:val="24"/>
                <w:szCs w:val="24"/>
                <w:highlight w:val="none"/>
              </w:rPr>
            </w:pPr>
          </w:p>
        </w:tc>
        <w:tc>
          <w:tcPr>
            <w:tcW w:w="915" w:type="pct"/>
            <w:vMerge w:val="continue"/>
            <w:tcBorders/>
            <w:noWrap w:val="0"/>
            <w:vAlign w:val="center"/>
          </w:tcPr>
          <w:p w14:paraId="354F5C89">
            <w:pPr>
              <w:spacing w:line="360" w:lineRule="auto"/>
              <w:jc w:val="center"/>
              <w:outlineLvl w:val="9"/>
              <w:rPr>
                <w:rFonts w:hint="eastAsia" w:ascii="宋体" w:hAnsi="宋体" w:eastAsia="宋体" w:cs="宋体"/>
                <w:sz w:val="24"/>
                <w:szCs w:val="24"/>
                <w:highlight w:val="none"/>
              </w:rPr>
            </w:pPr>
          </w:p>
        </w:tc>
      </w:tr>
      <w:tr w14:paraId="3DEAAC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142" w:hRule="atLeast"/>
          <w:jc w:val="center"/>
        </w:trPr>
        <w:tc>
          <w:tcPr>
            <w:tcW w:w="435" w:type="pct"/>
            <w:noWrap w:val="0"/>
            <w:vAlign w:val="center"/>
          </w:tcPr>
          <w:p w14:paraId="4105E105">
            <w:pPr>
              <w:spacing w:line="360" w:lineRule="auto"/>
              <w:jc w:val="center"/>
              <w:outlineLvl w:val="9"/>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七</w:t>
            </w:r>
          </w:p>
        </w:tc>
        <w:tc>
          <w:tcPr>
            <w:tcW w:w="1573" w:type="pct"/>
            <w:noWrap w:val="0"/>
            <w:vAlign w:val="center"/>
          </w:tcPr>
          <w:p w14:paraId="3D0E9A3B">
            <w:pPr>
              <w:keepNext w:val="0"/>
              <w:keepLines w:val="0"/>
              <w:widowControl/>
              <w:suppressLineNumbers w:val="0"/>
              <w:jc w:val="left"/>
              <w:rPr>
                <w:rFonts w:hint="default" w:ascii="SourceHanSerifCNVF-Medium" w:hAnsi="SourceHanSerifCNVF-Medium" w:eastAsia="SourceHanSerifCNVF-Medium" w:cs="SourceHanSerifCNVF-Medium"/>
                <w:color w:val="000000"/>
                <w:kern w:val="0"/>
                <w:sz w:val="24"/>
                <w:szCs w:val="24"/>
                <w:lang w:val="en-US" w:eastAsia="zh-CN" w:bidi="ar"/>
              </w:rPr>
            </w:pPr>
            <w:r>
              <w:rPr>
                <w:rFonts w:hint="default" w:ascii="SourceHanSerifCNVF-Medium" w:hAnsi="SourceHanSerifCNVF-Medium" w:eastAsia="SourceHanSerifCNVF-Medium" w:cs="SourceHanSerifCNVF-Medium"/>
                <w:color w:val="000000"/>
                <w:kern w:val="0"/>
                <w:sz w:val="24"/>
                <w:szCs w:val="24"/>
                <w:lang w:val="en-US" w:eastAsia="zh-CN" w:bidi="ar"/>
              </w:rPr>
              <w:t>县域</w:t>
            </w:r>
            <w:r>
              <w:rPr>
                <w:rFonts w:hint="eastAsia" w:ascii="宋体" w:hAnsi="宋体" w:eastAsia="宋体" w:cs="宋体"/>
                <w:color w:val="000000"/>
                <w:kern w:val="0"/>
                <w:sz w:val="24"/>
                <w:szCs w:val="24"/>
                <w:lang w:val="en-US" w:eastAsia="zh-CN" w:bidi="ar"/>
              </w:rPr>
              <w:t>2026</w:t>
            </w:r>
            <w:r>
              <w:rPr>
                <w:rFonts w:hint="default" w:ascii="SourceHanSerifCNVF-Medium" w:hAnsi="SourceHanSerifCNVF-Medium" w:eastAsia="SourceHanSerifCNVF-Medium" w:cs="SourceHanSerifCNVF-Medium"/>
                <w:color w:val="000000"/>
                <w:kern w:val="0"/>
                <w:sz w:val="24"/>
                <w:szCs w:val="24"/>
                <w:lang w:val="en-US" w:eastAsia="zh-CN" w:bidi="ar"/>
              </w:rPr>
              <w:t>年度⼆、三、四季度和其他⽣态环境保护管理数据收集和编报⼯作</w:t>
            </w:r>
          </w:p>
        </w:tc>
        <w:tc>
          <w:tcPr>
            <w:tcW w:w="405" w:type="pct"/>
            <w:noWrap w:val="0"/>
            <w:vAlign w:val="center"/>
          </w:tcPr>
          <w:p w14:paraId="6E1D25A0">
            <w:pPr>
              <w:spacing w:line="360" w:lineRule="auto"/>
              <w:jc w:val="center"/>
              <w:outlineLvl w:val="9"/>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2</w:t>
            </w:r>
          </w:p>
        </w:tc>
        <w:tc>
          <w:tcPr>
            <w:tcW w:w="1669" w:type="pct"/>
            <w:vMerge w:val="continue"/>
            <w:tcBorders/>
            <w:noWrap w:val="0"/>
            <w:vAlign w:val="center"/>
          </w:tcPr>
          <w:p w14:paraId="58B06950">
            <w:pPr>
              <w:spacing w:line="360" w:lineRule="auto"/>
              <w:jc w:val="center"/>
              <w:outlineLvl w:val="9"/>
              <w:rPr>
                <w:rFonts w:hint="eastAsia" w:ascii="宋体" w:hAnsi="宋体" w:eastAsia="宋体" w:cs="宋体"/>
                <w:sz w:val="24"/>
                <w:szCs w:val="24"/>
                <w:highlight w:val="none"/>
              </w:rPr>
            </w:pPr>
          </w:p>
        </w:tc>
        <w:tc>
          <w:tcPr>
            <w:tcW w:w="915" w:type="pct"/>
            <w:vMerge w:val="continue"/>
            <w:tcBorders>
              <w:bottom w:val="single" w:color="auto" w:sz="4" w:space="0"/>
            </w:tcBorders>
            <w:noWrap w:val="0"/>
            <w:vAlign w:val="center"/>
          </w:tcPr>
          <w:p w14:paraId="1962A0CA">
            <w:pPr>
              <w:spacing w:line="360" w:lineRule="auto"/>
              <w:jc w:val="center"/>
              <w:outlineLvl w:val="9"/>
              <w:rPr>
                <w:rFonts w:hint="eastAsia" w:ascii="宋体" w:hAnsi="宋体" w:eastAsia="宋体" w:cs="宋体"/>
                <w:sz w:val="24"/>
                <w:szCs w:val="24"/>
                <w:highlight w:val="none"/>
              </w:rPr>
            </w:pPr>
          </w:p>
        </w:tc>
      </w:tr>
    </w:tbl>
    <w:p w14:paraId="0EC27356">
      <w:pPr>
        <w:keepNext/>
        <w:keepLines/>
        <w:widowControl w:val="0"/>
        <w:numPr>
          <w:ilvl w:val="0"/>
          <w:numId w:val="1"/>
        </w:numPr>
        <w:spacing w:line="360" w:lineRule="auto"/>
        <w:ind w:firstLine="480" w:firstLineChars="200"/>
        <w:jc w:val="both"/>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kern w:val="44"/>
          <w:sz w:val="24"/>
          <w:szCs w:val="24"/>
          <w:highlight w:val="none"/>
          <w:lang w:val="en-US" w:eastAsia="zh-CN" w:bidi="ar-SA"/>
        </w:rPr>
        <w:t>项目技术服务费及支付方式</w:t>
      </w:r>
    </w:p>
    <w:p w14:paraId="14E8956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58" w:firstLineChars="200"/>
        <w:textAlignment w:val="auto"/>
        <w:rPr>
          <w:rFonts w:hint="eastAsia" w:ascii="宋体" w:hAnsi="宋体" w:eastAsia="宋体" w:cs="宋体"/>
          <w:spacing w:val="-6"/>
          <w:sz w:val="24"/>
          <w:szCs w:val="24"/>
          <w:highlight w:val="none"/>
        </w:rPr>
      </w:pPr>
      <w:r>
        <w:rPr>
          <w:rFonts w:hint="eastAsia" w:ascii="宋体" w:hAnsi="宋体" w:eastAsia="宋体" w:cs="宋体"/>
          <w:b/>
          <w:bCs/>
          <w:spacing w:val="-6"/>
          <w:sz w:val="24"/>
          <w:szCs w:val="24"/>
          <w:highlight w:val="none"/>
        </w:rPr>
        <w:t>5.1</w:t>
      </w:r>
      <w:r>
        <w:rPr>
          <w:rFonts w:hint="eastAsia" w:ascii="宋体" w:hAnsi="宋体" w:eastAsia="宋体" w:cs="宋体"/>
          <w:spacing w:val="-6"/>
          <w:sz w:val="24"/>
          <w:szCs w:val="24"/>
          <w:highlight w:val="none"/>
        </w:rPr>
        <w:t xml:space="preserve">  依据项目中标价格技术服务费用为</w:t>
      </w:r>
      <w:r>
        <w:rPr>
          <w:rFonts w:hint="eastAsia" w:ascii="宋体" w:hAnsi="宋体" w:cs="宋体"/>
          <w:spacing w:val="-6"/>
          <w:sz w:val="24"/>
          <w:szCs w:val="24"/>
          <w:highlight w:val="none"/>
          <w:lang w:eastAsia="zh-CN"/>
        </w:rPr>
        <w:t>：</w:t>
      </w:r>
      <w:r>
        <w:rPr>
          <w:rFonts w:hint="eastAsia" w:ascii="宋体" w:hAnsi="宋体" w:eastAsia="宋体" w:cs="宋体"/>
          <w:spacing w:val="-6"/>
          <w:sz w:val="24"/>
          <w:szCs w:val="24"/>
          <w:highlight w:val="none"/>
          <w:u w:val="single"/>
          <w:lang w:val="en-US" w:eastAsia="zh-CN"/>
        </w:rPr>
        <w:t>¥</w:t>
      </w:r>
      <w:r>
        <w:rPr>
          <w:rFonts w:hint="eastAsia" w:ascii="宋体" w:hAnsi="宋体" w:cs="宋体"/>
          <w:spacing w:val="-6"/>
          <w:sz w:val="24"/>
          <w:szCs w:val="24"/>
          <w:highlight w:val="none"/>
          <w:u w:val="single"/>
          <w:lang w:val="en-US" w:eastAsia="zh-CN"/>
        </w:rPr>
        <w:t xml:space="preserve">          </w:t>
      </w:r>
      <w:r>
        <w:rPr>
          <w:rFonts w:hint="eastAsia" w:ascii="宋体" w:hAnsi="宋体" w:eastAsia="宋体" w:cs="宋体"/>
          <w:spacing w:val="-6"/>
          <w:sz w:val="24"/>
          <w:szCs w:val="24"/>
          <w:highlight w:val="none"/>
          <w:lang w:val="en-US" w:eastAsia="zh-CN"/>
        </w:rPr>
        <w:t>元</w:t>
      </w:r>
      <w:r>
        <w:rPr>
          <w:rFonts w:hint="eastAsia" w:ascii="宋体" w:hAnsi="宋体" w:eastAsia="宋体" w:cs="宋体"/>
          <w:spacing w:val="-6"/>
          <w:sz w:val="24"/>
          <w:szCs w:val="24"/>
          <w:highlight w:val="none"/>
        </w:rPr>
        <w:t>（大写</w:t>
      </w:r>
      <w:r>
        <w:rPr>
          <w:rFonts w:hint="eastAsia" w:ascii="宋体" w:hAnsi="宋体" w:cs="宋体"/>
          <w:spacing w:val="-6"/>
          <w:sz w:val="24"/>
          <w:szCs w:val="24"/>
          <w:highlight w:val="none"/>
          <w:lang w:eastAsia="zh-CN"/>
        </w:rPr>
        <w:t>：</w:t>
      </w:r>
      <w:r>
        <w:rPr>
          <w:rFonts w:hint="eastAsia" w:ascii="宋体" w:hAnsi="宋体" w:cs="宋体"/>
          <w:spacing w:val="-6"/>
          <w:sz w:val="24"/>
          <w:szCs w:val="24"/>
          <w:highlight w:val="none"/>
          <w:lang w:val="en-US" w:eastAsia="zh-CN"/>
        </w:rPr>
        <w:t xml:space="preserve">        </w:t>
      </w:r>
      <w:r>
        <w:rPr>
          <w:rFonts w:hint="eastAsia" w:ascii="宋体" w:hAnsi="宋体" w:eastAsia="宋体" w:cs="宋体"/>
          <w:spacing w:val="-6"/>
          <w:sz w:val="24"/>
          <w:szCs w:val="24"/>
          <w:highlight w:val="none"/>
        </w:rPr>
        <w:t>）。</w:t>
      </w:r>
    </w:p>
    <w:p w14:paraId="0EA376D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58" w:firstLineChars="200"/>
        <w:textAlignment w:val="auto"/>
        <w:rPr>
          <w:rFonts w:hint="eastAsia" w:ascii="宋体" w:hAnsi="宋体" w:eastAsia="宋体" w:cs="宋体"/>
          <w:spacing w:val="-6"/>
          <w:sz w:val="24"/>
          <w:szCs w:val="24"/>
          <w:highlight w:val="none"/>
          <w:lang w:val="en-US" w:eastAsia="zh-CN"/>
        </w:rPr>
      </w:pPr>
      <w:r>
        <w:rPr>
          <w:rFonts w:hint="eastAsia" w:ascii="宋体" w:hAnsi="宋体" w:eastAsia="宋体" w:cs="宋体"/>
          <w:b/>
          <w:spacing w:val="-6"/>
          <w:sz w:val="24"/>
          <w:szCs w:val="24"/>
          <w:highlight w:val="none"/>
        </w:rPr>
        <w:t xml:space="preserve">5.2  </w:t>
      </w:r>
      <w:r>
        <w:rPr>
          <w:rFonts w:hint="eastAsia" w:ascii="宋体" w:hAnsi="宋体" w:eastAsia="宋体" w:cs="宋体"/>
          <w:spacing w:val="-6"/>
          <w:sz w:val="24"/>
          <w:szCs w:val="24"/>
          <w:highlight w:val="none"/>
          <w:lang w:val="en-US" w:eastAsia="zh-CN"/>
        </w:rPr>
        <w:t>分两次支付</w:t>
      </w:r>
      <w:r>
        <w:rPr>
          <w:rFonts w:hint="eastAsia" w:ascii="宋体" w:hAnsi="宋体" w:cs="宋体"/>
          <w:spacing w:val="-6"/>
          <w:sz w:val="24"/>
          <w:szCs w:val="24"/>
          <w:highlight w:val="none"/>
          <w:lang w:val="en-US" w:eastAsia="zh-CN"/>
        </w:rPr>
        <w:t>：</w:t>
      </w:r>
    </w:p>
    <w:p w14:paraId="6CCB93C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56" w:firstLineChars="200"/>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eastAsia="zh-CN"/>
        </w:rPr>
        <w:t>第一次</w:t>
      </w:r>
      <w:r>
        <w:rPr>
          <w:rFonts w:hint="eastAsia" w:ascii="宋体" w:hAnsi="宋体" w:cs="宋体"/>
          <w:color w:val="auto"/>
          <w:spacing w:val="-6"/>
          <w:sz w:val="24"/>
          <w:szCs w:val="24"/>
          <w:highlight w:val="none"/>
          <w:lang w:val="en-US" w:eastAsia="zh-CN"/>
        </w:rPr>
        <w:t>支付</w:t>
      </w:r>
      <w:r>
        <w:rPr>
          <w:rFonts w:hint="eastAsia" w:ascii="宋体" w:hAnsi="宋体" w:eastAsia="宋体" w:cs="宋体"/>
          <w:color w:val="auto"/>
          <w:spacing w:val="-6"/>
          <w:sz w:val="24"/>
          <w:szCs w:val="24"/>
          <w:highlight w:val="none"/>
          <w:lang w:val="en-US" w:eastAsia="zh-CN"/>
        </w:rPr>
        <w:t>：</w:t>
      </w:r>
      <w:r>
        <w:rPr>
          <w:rFonts w:hint="eastAsia" w:ascii="宋体" w:hAnsi="宋体" w:eastAsia="宋体" w:cs="宋体"/>
          <w:color w:val="auto"/>
          <w:spacing w:val="-6"/>
          <w:sz w:val="24"/>
          <w:szCs w:val="24"/>
          <w:highlight w:val="none"/>
        </w:rPr>
        <w:t>合同签订后</w:t>
      </w:r>
      <w:r>
        <w:rPr>
          <w:rFonts w:hint="eastAsia" w:ascii="宋体" w:hAnsi="宋体" w:cs="宋体"/>
          <w:color w:val="auto"/>
          <w:spacing w:val="-6"/>
          <w:sz w:val="24"/>
          <w:szCs w:val="24"/>
          <w:highlight w:val="none"/>
          <w:u w:val="single"/>
          <w:lang w:val="en-US" w:eastAsia="zh-CN"/>
        </w:rPr>
        <w:t xml:space="preserve">  15  </w:t>
      </w:r>
      <w:r>
        <w:rPr>
          <w:rFonts w:hint="eastAsia" w:ascii="宋体" w:hAnsi="宋体" w:eastAsia="宋体" w:cs="宋体"/>
          <w:color w:val="auto"/>
          <w:spacing w:val="-6"/>
          <w:sz w:val="24"/>
          <w:szCs w:val="24"/>
          <w:highlight w:val="none"/>
        </w:rPr>
        <w:t>个工作日内，支付</w:t>
      </w:r>
      <w:r>
        <w:rPr>
          <w:rFonts w:hint="eastAsia" w:ascii="宋体" w:hAnsi="宋体" w:cs="宋体"/>
          <w:color w:val="auto"/>
          <w:spacing w:val="-6"/>
          <w:sz w:val="24"/>
          <w:szCs w:val="24"/>
          <w:highlight w:val="none"/>
          <w:lang w:val="en-US" w:eastAsia="zh-CN"/>
        </w:rPr>
        <w:t>合同总额的</w:t>
      </w:r>
      <w:r>
        <w:rPr>
          <w:rFonts w:hint="eastAsia" w:ascii="宋体" w:hAnsi="宋体" w:cs="宋体"/>
          <w:color w:val="auto"/>
          <w:spacing w:val="-6"/>
          <w:sz w:val="24"/>
          <w:szCs w:val="24"/>
          <w:highlight w:val="none"/>
          <w:u w:val="single"/>
          <w:lang w:val="en-US" w:eastAsia="zh-CN"/>
        </w:rPr>
        <w:t xml:space="preserve">   50   </w:t>
      </w:r>
      <w:r>
        <w:rPr>
          <w:rFonts w:hint="eastAsia" w:ascii="宋体" w:hAnsi="宋体" w:cs="宋体"/>
          <w:color w:val="auto"/>
          <w:spacing w:val="-6"/>
          <w:sz w:val="24"/>
          <w:szCs w:val="24"/>
          <w:highlight w:val="none"/>
          <w:lang w:val="en-US" w:eastAsia="zh-CN"/>
        </w:rPr>
        <w:t>%</w:t>
      </w:r>
      <w:r>
        <w:rPr>
          <w:rFonts w:hint="eastAsia" w:ascii="宋体" w:hAnsi="宋体" w:eastAsia="宋体" w:cs="宋体"/>
          <w:color w:val="auto"/>
          <w:spacing w:val="-6"/>
          <w:sz w:val="24"/>
          <w:szCs w:val="24"/>
          <w:highlight w:val="none"/>
        </w:rPr>
        <w:t>；</w:t>
      </w:r>
    </w:p>
    <w:p w14:paraId="0FC5C6D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56" w:firstLineChars="200"/>
        <w:textAlignment w:val="auto"/>
        <w:rPr>
          <w:rFonts w:hint="eastAsia" w:ascii="宋体" w:hAnsi="宋体" w:eastAsia="宋体" w:cs="宋体"/>
          <w:color w:val="auto"/>
          <w:sz w:val="24"/>
          <w:szCs w:val="24"/>
          <w:highlight w:val="none"/>
        </w:rPr>
      </w:pPr>
      <w:r>
        <w:rPr>
          <w:rFonts w:hint="eastAsia" w:ascii="宋体" w:hAnsi="宋体" w:cs="宋体"/>
          <w:color w:val="auto"/>
          <w:spacing w:val="-6"/>
          <w:sz w:val="24"/>
          <w:szCs w:val="24"/>
          <w:highlight w:val="none"/>
          <w:lang w:val="en-US" w:eastAsia="zh-CN"/>
        </w:rPr>
        <w:t>第二次支付：完成《宜君县</w:t>
      </w:r>
      <w:r>
        <w:rPr>
          <w:rFonts w:hint="eastAsia" w:ascii="宋体" w:hAnsi="宋体" w:eastAsia="宋体" w:cs="宋体"/>
          <w:color w:val="auto"/>
          <w:spacing w:val="-6"/>
          <w:sz w:val="24"/>
          <w:szCs w:val="24"/>
          <w:highlight w:val="none"/>
        </w:rPr>
        <w:t>国家重点生态功能区县域生态环境</w:t>
      </w:r>
      <w:r>
        <w:rPr>
          <w:rFonts w:hint="eastAsia" w:ascii="宋体" w:hAnsi="宋体" w:cs="宋体"/>
          <w:color w:val="auto"/>
          <w:spacing w:val="-6"/>
          <w:sz w:val="24"/>
          <w:szCs w:val="24"/>
          <w:highlight w:val="none"/>
          <w:lang w:val="en-US" w:eastAsia="zh-CN"/>
        </w:rPr>
        <w:t>保护管理提升项目</w:t>
      </w:r>
      <w:r>
        <w:rPr>
          <w:rFonts w:hint="eastAsia" w:ascii="宋体" w:hAnsi="宋体" w:eastAsia="宋体" w:cs="宋体"/>
          <w:color w:val="auto"/>
          <w:spacing w:val="-6"/>
          <w:sz w:val="24"/>
          <w:szCs w:val="24"/>
          <w:highlight w:val="none"/>
        </w:rPr>
        <w:t>研究报告</w:t>
      </w:r>
      <w:r>
        <w:rPr>
          <w:rFonts w:hint="eastAsia" w:ascii="宋体" w:hAnsi="宋体" w:cs="宋体"/>
          <w:color w:val="auto"/>
          <w:spacing w:val="-6"/>
          <w:sz w:val="24"/>
          <w:szCs w:val="24"/>
          <w:highlight w:val="none"/>
          <w:lang w:val="en-US" w:eastAsia="zh-CN"/>
        </w:rPr>
        <w:t>》</w:t>
      </w:r>
      <w:r>
        <w:rPr>
          <w:rFonts w:hint="eastAsia" w:ascii="宋体" w:hAnsi="宋体" w:eastAsia="宋体" w:cs="宋体"/>
          <w:color w:val="auto"/>
          <w:spacing w:val="-6"/>
          <w:sz w:val="24"/>
          <w:szCs w:val="24"/>
          <w:highlight w:val="none"/>
        </w:rPr>
        <w:t>编制</w:t>
      </w:r>
      <w:r>
        <w:rPr>
          <w:rFonts w:hint="eastAsia" w:ascii="宋体" w:hAnsi="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rPr>
        <w:t>经专家论证会通过，</w:t>
      </w:r>
      <w:r>
        <w:rPr>
          <w:rFonts w:hint="eastAsia" w:ascii="宋体" w:hAnsi="宋体" w:cs="宋体"/>
          <w:color w:val="auto"/>
          <w:spacing w:val="-6"/>
          <w:sz w:val="24"/>
          <w:szCs w:val="24"/>
          <w:highlight w:val="none"/>
          <w:lang w:val="en-US" w:eastAsia="zh-CN"/>
        </w:rPr>
        <w:t>并满足</w:t>
      </w:r>
      <w:r>
        <w:rPr>
          <w:rFonts w:hint="eastAsia" w:ascii="宋体" w:hAnsi="宋体" w:eastAsia="宋体" w:cs="宋体"/>
          <w:color w:val="auto"/>
          <w:kern w:val="44"/>
          <w:sz w:val="24"/>
          <w:szCs w:val="24"/>
          <w:highlight w:val="none"/>
          <w:lang w:val="en-US" w:eastAsia="zh-CN" w:bidi="ar-SA"/>
        </w:rPr>
        <w:t>“十四五”国家重点生态功能区县域生态环境质量监测与评价指标体系及实施细则》（环办监测函〔2022〕30号)</w:t>
      </w:r>
      <w:r>
        <w:rPr>
          <w:rFonts w:hint="eastAsia" w:ascii="宋体" w:hAnsi="宋体" w:cs="宋体"/>
          <w:color w:val="auto"/>
          <w:kern w:val="44"/>
          <w:sz w:val="24"/>
          <w:szCs w:val="24"/>
          <w:highlight w:val="none"/>
          <w:lang w:val="en-US" w:eastAsia="zh-CN" w:bidi="ar-SA"/>
        </w:rPr>
        <w:t>相关</w:t>
      </w:r>
      <w:r>
        <w:rPr>
          <w:rFonts w:hint="eastAsia" w:ascii="宋体" w:hAnsi="宋体" w:eastAsia="宋体" w:cs="宋体"/>
          <w:color w:val="auto"/>
          <w:kern w:val="44"/>
          <w:sz w:val="24"/>
          <w:szCs w:val="24"/>
          <w:highlight w:val="none"/>
          <w:lang w:val="en-US" w:eastAsia="zh-CN" w:bidi="ar-SA"/>
        </w:rPr>
        <w:t>要求</w:t>
      </w:r>
      <w:r>
        <w:rPr>
          <w:rFonts w:hint="eastAsia" w:ascii="宋体" w:hAnsi="宋体" w:eastAsia="宋体" w:cs="宋体"/>
          <w:color w:val="auto"/>
          <w:spacing w:val="-6"/>
          <w:sz w:val="24"/>
          <w:szCs w:val="24"/>
          <w:highlight w:val="none"/>
        </w:rPr>
        <w:t>后</w:t>
      </w:r>
      <w:r>
        <w:rPr>
          <w:rFonts w:hint="eastAsia" w:ascii="宋体" w:hAnsi="宋体" w:cs="宋体"/>
          <w:color w:val="auto"/>
          <w:spacing w:val="-6"/>
          <w:sz w:val="24"/>
          <w:szCs w:val="24"/>
          <w:highlight w:val="none"/>
          <w:lang w:eastAsia="zh-CN"/>
        </w:rPr>
        <w:t>，</w:t>
      </w:r>
      <w:r>
        <w:rPr>
          <w:rFonts w:hint="eastAsia" w:ascii="宋体" w:hAnsi="宋体" w:cs="宋体"/>
          <w:color w:val="auto"/>
          <w:spacing w:val="-6"/>
          <w:sz w:val="24"/>
          <w:szCs w:val="24"/>
          <w:highlight w:val="none"/>
          <w:lang w:val="en-US" w:eastAsia="zh-CN"/>
        </w:rPr>
        <w:t>30个工作日内，</w:t>
      </w:r>
      <w:r>
        <w:rPr>
          <w:rFonts w:hint="eastAsia" w:ascii="宋体" w:hAnsi="宋体" w:eastAsia="宋体" w:cs="宋体"/>
          <w:color w:val="auto"/>
          <w:spacing w:val="-6"/>
          <w:sz w:val="24"/>
          <w:szCs w:val="24"/>
          <w:highlight w:val="none"/>
        </w:rPr>
        <w:t>支付</w:t>
      </w:r>
      <w:r>
        <w:rPr>
          <w:rFonts w:hint="eastAsia" w:ascii="宋体" w:hAnsi="宋体" w:cs="宋体"/>
          <w:color w:val="auto"/>
          <w:spacing w:val="-6"/>
          <w:sz w:val="24"/>
          <w:szCs w:val="24"/>
          <w:highlight w:val="none"/>
          <w:lang w:val="en-US" w:eastAsia="zh-CN"/>
        </w:rPr>
        <w:t>合同总额的</w:t>
      </w:r>
      <w:r>
        <w:rPr>
          <w:rFonts w:hint="eastAsia" w:ascii="宋体" w:hAnsi="宋体" w:cs="宋体"/>
          <w:color w:val="auto"/>
          <w:spacing w:val="-6"/>
          <w:sz w:val="24"/>
          <w:szCs w:val="24"/>
          <w:highlight w:val="none"/>
          <w:u w:val="single"/>
          <w:lang w:val="en-US" w:eastAsia="zh-CN"/>
        </w:rPr>
        <w:t xml:space="preserve">   50%   </w:t>
      </w:r>
      <w:r>
        <w:rPr>
          <w:rFonts w:hint="eastAsia" w:ascii="宋体" w:hAnsi="宋体" w:eastAsia="宋体" w:cs="宋体"/>
          <w:color w:val="auto"/>
          <w:spacing w:val="-6"/>
          <w:sz w:val="24"/>
          <w:szCs w:val="24"/>
          <w:highlight w:val="none"/>
        </w:rPr>
        <w:t>。</w:t>
      </w:r>
    </w:p>
    <w:p w14:paraId="2C67DBFC">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spacing w:val="-6"/>
          <w:sz w:val="24"/>
          <w:szCs w:val="24"/>
          <w:highlight w:val="none"/>
        </w:rPr>
      </w:pPr>
      <w:r>
        <w:rPr>
          <w:rFonts w:hint="eastAsia" w:ascii="宋体" w:hAnsi="宋体" w:eastAsia="宋体" w:cs="宋体"/>
          <w:b/>
          <w:bCs/>
          <w:spacing w:val="-6"/>
          <w:sz w:val="24"/>
          <w:szCs w:val="24"/>
          <w:highlight w:val="none"/>
        </w:rPr>
        <w:t>5.3</w:t>
      </w:r>
      <w:r>
        <w:rPr>
          <w:rFonts w:hint="eastAsia" w:ascii="宋体" w:hAnsi="宋体" w:eastAsia="宋体" w:cs="宋体"/>
          <w:spacing w:val="-6"/>
          <w:sz w:val="24"/>
          <w:szCs w:val="24"/>
          <w:highlight w:val="none"/>
        </w:rPr>
        <w:t xml:space="preserve">  本费用为含税价，已包含乙方完成本合同项下所有工作所需费用。除非另有约定，甲方不再支付其他费用。</w:t>
      </w:r>
    </w:p>
    <w:p w14:paraId="0A5C6D50">
      <w:pPr>
        <w:keepNext/>
        <w:keepLines/>
        <w:pageBreakBefore w:val="0"/>
        <w:widowControl w:val="0"/>
        <w:kinsoku/>
        <w:wordWrap/>
        <w:overflowPunct/>
        <w:topLinePunct w:val="0"/>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第六条</w:t>
      </w:r>
      <w:r>
        <w:rPr>
          <w:rFonts w:hint="eastAsia" w:ascii="宋体" w:hAnsi="宋体" w:eastAsia="宋体" w:cs="宋体"/>
          <w:kern w:val="44"/>
          <w:sz w:val="24"/>
          <w:szCs w:val="24"/>
          <w:highlight w:val="none"/>
          <w:lang w:val="en-US" w:eastAsia="zh-CN" w:bidi="ar-SA"/>
        </w:rPr>
        <w:t xml:space="preserve">  </w:t>
      </w:r>
      <w:r>
        <w:rPr>
          <w:rFonts w:hint="eastAsia" w:ascii="宋体" w:hAnsi="宋体" w:eastAsia="宋体" w:cs="宋体"/>
          <w:spacing w:val="10"/>
          <w:kern w:val="44"/>
          <w:sz w:val="24"/>
          <w:szCs w:val="24"/>
          <w:highlight w:val="none"/>
          <w:lang w:val="en-US" w:eastAsia="zh-CN" w:bidi="ar-SA"/>
        </w:rPr>
        <w:t>双方责任</w:t>
      </w:r>
    </w:p>
    <w:p w14:paraId="60F49F20">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pacing w:val="-6"/>
          <w:sz w:val="24"/>
          <w:szCs w:val="24"/>
          <w:highlight w:val="none"/>
        </w:rPr>
        <w:t xml:space="preserve">6.1  </w:t>
      </w:r>
      <w:r>
        <w:rPr>
          <w:rFonts w:hint="eastAsia" w:ascii="宋体" w:hAnsi="宋体" w:eastAsia="宋体" w:cs="宋体"/>
          <w:sz w:val="24"/>
          <w:szCs w:val="24"/>
          <w:highlight w:val="none"/>
        </w:rPr>
        <w:t>甲方责任</w:t>
      </w:r>
    </w:p>
    <w:p w14:paraId="71853A65">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pacing w:val="-6"/>
          <w:sz w:val="24"/>
          <w:szCs w:val="24"/>
          <w:highlight w:val="none"/>
        </w:rPr>
        <w:t xml:space="preserve">6.1.1  </w:t>
      </w:r>
      <w:r>
        <w:rPr>
          <w:rFonts w:hint="eastAsia" w:ascii="宋体" w:hAnsi="宋体" w:eastAsia="宋体" w:cs="宋体"/>
          <w:sz w:val="24"/>
          <w:szCs w:val="24"/>
          <w:highlight w:val="none"/>
        </w:rPr>
        <w:t>甲方应按本合同第三条的约定，在约定的时间内向乙方提供资料及文件。甲方应按第五条约定的时间，向乙方支付技术服务费用。</w:t>
      </w:r>
    </w:p>
    <w:p w14:paraId="124E475B">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pacing w:val="-6"/>
          <w:sz w:val="24"/>
          <w:szCs w:val="24"/>
          <w:highlight w:val="none"/>
        </w:rPr>
        <w:t xml:space="preserve">6.1.2  </w:t>
      </w:r>
      <w:r>
        <w:rPr>
          <w:rFonts w:hint="eastAsia" w:ascii="宋体" w:hAnsi="宋体" w:eastAsia="宋体" w:cs="宋体"/>
          <w:sz w:val="24"/>
          <w:szCs w:val="24"/>
          <w:highlight w:val="none"/>
        </w:rPr>
        <w:t>在项目编制过程中，甲方不得要求乙方违反国家有关标准、规范进行项目编制。</w:t>
      </w:r>
    </w:p>
    <w:p w14:paraId="471E5BEC">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b/>
          <w:spacing w:val="-6"/>
          <w:sz w:val="24"/>
          <w:szCs w:val="24"/>
          <w:highlight w:val="none"/>
        </w:rPr>
      </w:pPr>
      <w:r>
        <w:rPr>
          <w:rFonts w:hint="eastAsia" w:ascii="宋体" w:hAnsi="宋体" w:eastAsia="宋体" w:cs="宋体"/>
          <w:b/>
          <w:spacing w:val="-6"/>
          <w:sz w:val="24"/>
          <w:szCs w:val="24"/>
          <w:highlight w:val="none"/>
        </w:rPr>
        <w:t xml:space="preserve">6.1.3  </w:t>
      </w:r>
      <w:r>
        <w:rPr>
          <w:rFonts w:hint="eastAsia" w:ascii="宋体" w:hAnsi="宋体" w:eastAsia="宋体" w:cs="宋体"/>
          <w:sz w:val="24"/>
          <w:szCs w:val="24"/>
          <w:highlight w:val="none"/>
        </w:rPr>
        <w:t xml:space="preserve">甲方应保护乙方为项目实施所生产的属于乙方知识产权保护范由围的相关成果知识版权。未经乙方同意，甲方不得向第三方转让。    </w:t>
      </w:r>
    </w:p>
    <w:p w14:paraId="48871F33">
      <w:pPr>
        <w:pageBreakBefore w:val="0"/>
        <w:kinsoku/>
        <w:wordWrap/>
        <w:overflowPunct/>
        <w:topLinePunct w:val="0"/>
        <w:autoSpaceDE/>
        <w:autoSpaceDN/>
        <w:bidi w:val="0"/>
        <w:adjustRightInd w:val="0"/>
        <w:snapToGrid w:val="0"/>
        <w:spacing w:line="440" w:lineRule="exact"/>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6.2  </w:t>
      </w:r>
      <w:r>
        <w:rPr>
          <w:rFonts w:hint="eastAsia" w:ascii="宋体" w:hAnsi="宋体" w:eastAsia="宋体" w:cs="宋体"/>
          <w:sz w:val="24"/>
          <w:szCs w:val="24"/>
          <w:highlight w:val="none"/>
        </w:rPr>
        <w:t>乙方责任</w:t>
      </w:r>
    </w:p>
    <w:p w14:paraId="3FA4974E">
      <w:pPr>
        <w:pageBreakBefore w:val="0"/>
        <w:widowControl w:val="0"/>
        <w:kinsoku/>
        <w:wordWrap/>
        <w:overflowPunct/>
        <w:topLinePunct w:val="0"/>
        <w:autoSpaceDE/>
        <w:autoSpaceDN/>
        <w:bidi w:val="0"/>
        <w:adjustRightInd w:val="0"/>
        <w:snapToGrid w:val="0"/>
        <w:spacing w:line="440" w:lineRule="exact"/>
        <w:ind w:firstLine="458" w:firstLineChars="200"/>
        <w:jc w:val="both"/>
        <w:textAlignment w:val="auto"/>
        <w:outlineLvl w:val="9"/>
        <w:rPr>
          <w:rFonts w:hint="eastAsia" w:ascii="宋体" w:hAnsi="宋体" w:eastAsia="宋体" w:cs="宋体"/>
          <w:b/>
          <w:spacing w:val="-6"/>
          <w:kern w:val="2"/>
          <w:sz w:val="24"/>
          <w:szCs w:val="24"/>
          <w:highlight w:val="none"/>
          <w:lang w:val="en-US" w:eastAsia="zh-CN" w:bidi="ar-SA"/>
        </w:rPr>
      </w:pPr>
      <w:r>
        <w:rPr>
          <w:rFonts w:hint="eastAsia" w:ascii="宋体" w:hAnsi="宋体" w:eastAsia="宋体" w:cs="宋体"/>
          <w:b/>
          <w:spacing w:val="-6"/>
          <w:kern w:val="2"/>
          <w:sz w:val="24"/>
          <w:szCs w:val="24"/>
          <w:highlight w:val="none"/>
          <w:lang w:val="en-US" w:eastAsia="zh-CN" w:bidi="ar-SA"/>
        </w:rPr>
        <w:t xml:space="preserve">6.2.1  </w:t>
      </w:r>
      <w:r>
        <w:rPr>
          <w:rFonts w:hint="eastAsia" w:ascii="宋体" w:hAnsi="宋体" w:eastAsia="宋体" w:cs="宋体"/>
          <w:spacing w:val="-6"/>
          <w:kern w:val="2"/>
          <w:sz w:val="24"/>
          <w:szCs w:val="24"/>
          <w:highlight w:val="none"/>
          <w:lang w:val="en-US" w:eastAsia="zh-CN" w:bidi="ar-SA"/>
        </w:rPr>
        <w:t>项目成果提交后，乙方根据项目进展情况及甲方要求，配合进行修改完善。</w:t>
      </w:r>
    </w:p>
    <w:p w14:paraId="43FF463A">
      <w:pPr>
        <w:pageBreakBefore w:val="0"/>
        <w:widowControl w:val="0"/>
        <w:kinsoku/>
        <w:wordWrap/>
        <w:overflowPunct/>
        <w:topLinePunct w:val="0"/>
        <w:autoSpaceDE/>
        <w:autoSpaceDN/>
        <w:bidi w:val="0"/>
        <w:adjustRightInd w:val="0"/>
        <w:snapToGrid w:val="0"/>
        <w:spacing w:line="440" w:lineRule="exact"/>
        <w:ind w:firstLine="458" w:firstLineChars="200"/>
        <w:jc w:val="both"/>
        <w:textAlignment w:val="auto"/>
        <w:outlineLvl w:val="9"/>
        <w:rPr>
          <w:rFonts w:hint="eastAsia" w:ascii="宋体" w:hAnsi="宋体" w:eastAsia="宋体" w:cs="宋体"/>
          <w:spacing w:val="-6"/>
          <w:kern w:val="2"/>
          <w:sz w:val="24"/>
          <w:szCs w:val="24"/>
          <w:highlight w:val="none"/>
          <w:lang w:val="en-US" w:eastAsia="zh-CN" w:bidi="ar-SA"/>
        </w:rPr>
      </w:pPr>
      <w:r>
        <w:rPr>
          <w:rFonts w:hint="eastAsia" w:ascii="宋体" w:hAnsi="宋体" w:eastAsia="宋体" w:cs="宋体"/>
          <w:b/>
          <w:spacing w:val="-6"/>
          <w:kern w:val="2"/>
          <w:sz w:val="24"/>
          <w:szCs w:val="24"/>
          <w:highlight w:val="none"/>
          <w:lang w:val="en-US" w:eastAsia="zh-CN" w:bidi="ar-SA"/>
        </w:rPr>
        <w:t xml:space="preserve">6.2.2  </w:t>
      </w:r>
      <w:r>
        <w:rPr>
          <w:rFonts w:hint="eastAsia" w:ascii="宋体" w:hAnsi="宋体" w:eastAsia="宋体" w:cs="宋体"/>
          <w:spacing w:val="-6"/>
          <w:kern w:val="2"/>
          <w:sz w:val="24"/>
          <w:szCs w:val="24"/>
          <w:highlight w:val="none"/>
          <w:lang w:val="en-US" w:eastAsia="zh-CN" w:bidi="ar-SA"/>
        </w:rPr>
        <w:t>在项目编制过程中，乙方应严格按照国家技术规范、标准、规程及甲方要求进行项目编制，并按照本合同约定的服务时限，向甲方交付符合质量要求的成果。</w:t>
      </w:r>
    </w:p>
    <w:p w14:paraId="6443417B">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pacing w:val="-6"/>
          <w:sz w:val="24"/>
          <w:szCs w:val="24"/>
          <w:highlight w:val="none"/>
        </w:rPr>
        <w:t xml:space="preserve">6.2.3  </w:t>
      </w:r>
      <w:r>
        <w:rPr>
          <w:rFonts w:hint="eastAsia" w:ascii="宋体" w:hAnsi="宋体" w:eastAsia="宋体" w:cs="宋体"/>
          <w:sz w:val="24"/>
          <w:szCs w:val="24"/>
          <w:highlight w:val="none"/>
        </w:rPr>
        <w:t>乙方应协助甲方完成项目各阶段的评审和报批工作，在规划编制过程中涉及的方案汇报会、专家咨询会、评审会等，乙方应派项目主要负责人及相关人员参加，并负责进行规划编制介绍和答疑。</w:t>
      </w:r>
    </w:p>
    <w:p w14:paraId="1DFA9B9F">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pacing w:val="-6"/>
          <w:sz w:val="24"/>
          <w:szCs w:val="24"/>
          <w:highlight w:val="none"/>
        </w:rPr>
        <w:t xml:space="preserve">6.2.4  </w:t>
      </w:r>
      <w:r>
        <w:rPr>
          <w:rFonts w:hint="eastAsia" w:ascii="宋体" w:hAnsi="宋体" w:eastAsia="宋体" w:cs="宋体"/>
          <w:sz w:val="24"/>
          <w:szCs w:val="24"/>
          <w:highlight w:val="none"/>
        </w:rPr>
        <w:t>乙方不得向第三方扩散、转让甲方提供的产品图纸等技术资料。</w:t>
      </w:r>
    </w:p>
    <w:p w14:paraId="5F5EF129">
      <w:pPr>
        <w:keepNext/>
        <w:keepLines/>
        <w:pageBreakBefore w:val="0"/>
        <w:widowControl w:val="0"/>
        <w:kinsoku/>
        <w:wordWrap/>
        <w:overflowPunct/>
        <w:topLinePunct w:val="0"/>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第七条 知识产权</w:t>
      </w:r>
    </w:p>
    <w:p w14:paraId="402DA91F">
      <w:pPr>
        <w:pageBreakBefore w:val="0"/>
        <w:widowControl/>
        <w:kinsoku/>
        <w:wordWrap/>
        <w:overflowPunct/>
        <w:topLinePunct w:val="0"/>
        <w:autoSpaceDE/>
        <w:autoSpaceDN/>
        <w:bidi w:val="0"/>
        <w:adjustRightInd w:val="0"/>
        <w:snapToGrid w:val="0"/>
        <w:spacing w:before="0" w:beforeAutospacing="0" w:after="0" w:afterAutospacing="0" w:line="440" w:lineRule="exact"/>
        <w:ind w:firstLine="482"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7.1</w:t>
      </w:r>
      <w:r>
        <w:rPr>
          <w:rFonts w:hint="eastAsia" w:ascii="宋体" w:hAnsi="宋体" w:eastAsia="宋体" w:cs="宋体"/>
          <w:kern w:val="2"/>
          <w:sz w:val="24"/>
          <w:szCs w:val="24"/>
          <w:highlight w:val="none"/>
          <w:lang w:val="en-US" w:eastAsia="zh-CN" w:bidi="ar-SA"/>
        </w:rPr>
        <w:t>甲方提供给乙方的图纸、甲方为实施工程自行编制或委托编制的技术规格以及反映甲方关于合同要求或其他类似性质的文件的著作权归甲方。</w:t>
      </w:r>
    </w:p>
    <w:p w14:paraId="70C08C6D">
      <w:pPr>
        <w:pageBreakBefore w:val="0"/>
        <w:widowControl/>
        <w:kinsoku/>
        <w:wordWrap/>
        <w:overflowPunct/>
        <w:topLinePunct w:val="0"/>
        <w:autoSpaceDE/>
        <w:autoSpaceDN/>
        <w:bidi w:val="0"/>
        <w:adjustRightInd w:val="0"/>
        <w:snapToGrid w:val="0"/>
        <w:spacing w:before="0" w:beforeAutospacing="0" w:after="0" w:afterAutospacing="0" w:line="440" w:lineRule="exact"/>
        <w:ind w:firstLine="482"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7.2</w:t>
      </w:r>
      <w:r>
        <w:rPr>
          <w:rFonts w:hint="eastAsia" w:ascii="宋体" w:hAnsi="宋体" w:eastAsia="宋体" w:cs="宋体"/>
          <w:kern w:val="2"/>
          <w:sz w:val="24"/>
          <w:szCs w:val="24"/>
          <w:highlight w:val="none"/>
          <w:lang w:val="en-US" w:eastAsia="zh-CN" w:bidi="ar-SA"/>
        </w:rPr>
        <w:t>关于甲方提供的上述文件的使用限制的要求：甲方提供的文件不得侵犯任何第三方的版权等知识产权及其他任何权利，否则，因此产生的一切纠纷及责任，均由甲方处理。</w:t>
      </w:r>
    </w:p>
    <w:p w14:paraId="1D196FE8">
      <w:pPr>
        <w:pageBreakBefore w:val="0"/>
        <w:widowControl/>
        <w:kinsoku/>
        <w:wordWrap/>
        <w:overflowPunct/>
        <w:topLinePunct w:val="0"/>
        <w:autoSpaceDE/>
        <w:autoSpaceDN/>
        <w:bidi w:val="0"/>
        <w:adjustRightInd w:val="0"/>
        <w:snapToGrid w:val="0"/>
        <w:spacing w:before="0" w:beforeAutospacing="0" w:after="0" w:afterAutospacing="0" w:line="440" w:lineRule="exact"/>
        <w:ind w:firstLine="482"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7.3</w:t>
      </w:r>
      <w:r>
        <w:rPr>
          <w:rFonts w:hint="eastAsia" w:ascii="宋体" w:hAnsi="宋体" w:eastAsia="宋体" w:cs="宋体"/>
          <w:kern w:val="2"/>
          <w:sz w:val="24"/>
          <w:szCs w:val="24"/>
          <w:highlight w:val="none"/>
          <w:lang w:val="en-US" w:eastAsia="zh-CN" w:bidi="ar-SA"/>
        </w:rPr>
        <w:t xml:space="preserve"> 乙方提交的服务方案、文件、资料图纸等本合同项下的全部工作成果的所有权和版权（著作权）等知识产权及其他所有权利均归甲方所有，甲方有权自主决定使用方式，且无须为此向乙方额外支付费用。如乙方需使用本合同项目工作成果或利用其他方式进行对外宣传等活动，需事先书面征得甲方同意 。</w:t>
      </w:r>
    </w:p>
    <w:p w14:paraId="2BBE57E8">
      <w:pPr>
        <w:pageBreakBefore w:val="0"/>
        <w:widowControl/>
        <w:kinsoku/>
        <w:wordWrap/>
        <w:overflowPunct/>
        <w:topLinePunct w:val="0"/>
        <w:autoSpaceDE/>
        <w:autoSpaceDN/>
        <w:bidi w:val="0"/>
        <w:adjustRightInd w:val="0"/>
        <w:snapToGrid w:val="0"/>
        <w:spacing w:before="0" w:beforeAutospacing="0" w:after="0" w:afterAutospacing="0" w:line="440" w:lineRule="exact"/>
        <w:ind w:firstLine="482"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7.4</w:t>
      </w:r>
      <w:r>
        <w:rPr>
          <w:rFonts w:hint="eastAsia" w:ascii="宋体" w:hAnsi="宋体" w:eastAsia="宋体" w:cs="宋体"/>
          <w:kern w:val="2"/>
          <w:sz w:val="24"/>
          <w:szCs w:val="24"/>
          <w:highlight w:val="none"/>
          <w:lang w:val="en-US" w:eastAsia="zh-CN" w:bidi="ar-SA"/>
        </w:rPr>
        <w:t>关于乙方提供的上述文件的使用限制的要求：乙方提供的成果不得侵犯任何第三方的版权等知识产权及其他任何权利，否则，因此产生的一切纠纷及责任，均由乙方自行处理。</w:t>
      </w:r>
    </w:p>
    <w:p w14:paraId="4CA861A7">
      <w:pPr>
        <w:pageBreakBefore w:val="0"/>
        <w:widowControl/>
        <w:kinsoku/>
        <w:wordWrap/>
        <w:overflowPunct/>
        <w:topLinePunct w:val="0"/>
        <w:autoSpaceDE/>
        <w:autoSpaceDN/>
        <w:bidi w:val="0"/>
        <w:adjustRightInd w:val="0"/>
        <w:snapToGrid w:val="0"/>
        <w:spacing w:before="0" w:beforeAutospacing="0" w:after="0" w:afterAutospacing="0" w:line="440" w:lineRule="exact"/>
        <w:ind w:firstLine="482"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7.5</w:t>
      </w:r>
      <w:r>
        <w:rPr>
          <w:rFonts w:hint="eastAsia" w:ascii="宋体" w:hAnsi="宋体" w:eastAsia="宋体" w:cs="宋体"/>
          <w:kern w:val="2"/>
          <w:sz w:val="24"/>
          <w:szCs w:val="24"/>
          <w:highlight w:val="none"/>
          <w:lang w:val="en-US" w:eastAsia="zh-CN" w:bidi="ar-SA"/>
        </w:rPr>
        <w:t>乙方在服务过程中所采用的专利、专有技术的使用费的承担方式：由乙方自行承担 。</w:t>
      </w:r>
    </w:p>
    <w:p w14:paraId="61265D2E">
      <w:pPr>
        <w:keepNext/>
        <w:keepLines/>
        <w:pageBreakBefore w:val="0"/>
        <w:widowControl w:val="0"/>
        <w:kinsoku/>
        <w:wordWrap/>
        <w:overflowPunct/>
        <w:topLinePunct w:val="0"/>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第八条</w:t>
      </w:r>
      <w:r>
        <w:rPr>
          <w:rFonts w:hint="eastAsia" w:ascii="宋体" w:hAnsi="宋体" w:eastAsia="宋体" w:cs="宋体"/>
          <w:kern w:val="44"/>
          <w:sz w:val="24"/>
          <w:szCs w:val="24"/>
          <w:highlight w:val="none"/>
          <w:lang w:val="en-US" w:eastAsia="zh-CN" w:bidi="ar-SA"/>
        </w:rPr>
        <w:t xml:space="preserve">  其他</w:t>
      </w:r>
    </w:p>
    <w:p w14:paraId="460A72F2">
      <w:pPr>
        <w:pageBreakBefore w:val="0"/>
        <w:kinsoku/>
        <w:wordWrap/>
        <w:overflowPunct/>
        <w:topLinePunct w:val="0"/>
        <w:autoSpaceDE/>
        <w:autoSpaceDN/>
        <w:bidi w:val="0"/>
        <w:adjustRightInd w:val="0"/>
        <w:snapToGrid w:val="0"/>
        <w:spacing w:line="440" w:lineRule="exact"/>
        <w:ind w:firstLine="458" w:firstLineChars="200"/>
        <w:textAlignment w:val="auto"/>
        <w:outlineLvl w:val="9"/>
        <w:rPr>
          <w:rFonts w:hint="eastAsia" w:ascii="宋体" w:hAnsi="宋体" w:eastAsia="宋体" w:cs="宋体"/>
          <w:spacing w:val="-4"/>
          <w:sz w:val="24"/>
          <w:szCs w:val="24"/>
          <w:highlight w:val="none"/>
        </w:rPr>
      </w:pPr>
      <w:r>
        <w:rPr>
          <w:rFonts w:hint="eastAsia" w:ascii="宋体" w:hAnsi="宋体" w:eastAsia="宋体" w:cs="宋体"/>
          <w:b/>
          <w:bCs/>
          <w:spacing w:val="-6"/>
          <w:sz w:val="24"/>
          <w:szCs w:val="24"/>
          <w:highlight w:val="none"/>
        </w:rPr>
        <w:t xml:space="preserve">8.1  </w:t>
      </w:r>
      <w:r>
        <w:rPr>
          <w:rFonts w:hint="eastAsia" w:ascii="宋体" w:hAnsi="宋体" w:eastAsia="宋体" w:cs="宋体"/>
          <w:spacing w:val="-6"/>
          <w:sz w:val="24"/>
          <w:szCs w:val="24"/>
          <w:highlight w:val="none"/>
        </w:rPr>
        <w:t>由于不可抗力因素致使合同无法履行时，双方应及时协商解决。</w:t>
      </w:r>
    </w:p>
    <w:p w14:paraId="2CFC87BF">
      <w:pPr>
        <w:pageBreakBefore w:val="0"/>
        <w:kinsoku/>
        <w:wordWrap/>
        <w:overflowPunct/>
        <w:topLinePunct w:val="0"/>
        <w:autoSpaceDE/>
        <w:autoSpaceDN/>
        <w:bidi w:val="0"/>
        <w:adjustRightInd w:val="0"/>
        <w:snapToGrid w:val="0"/>
        <w:spacing w:line="440" w:lineRule="exact"/>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8.2  </w:t>
      </w:r>
      <w:r>
        <w:rPr>
          <w:rFonts w:hint="eastAsia" w:ascii="宋体" w:hAnsi="宋体" w:eastAsia="宋体" w:cs="宋体"/>
          <w:sz w:val="24"/>
          <w:szCs w:val="24"/>
          <w:highlight w:val="none"/>
        </w:rPr>
        <w:t>本技术服务合同在履行过程中发生纠纷，甲方与乙方应及时协商解决。协商不成时，双方同意向甲方所在地人民法院提起诉讼。</w:t>
      </w:r>
    </w:p>
    <w:p w14:paraId="5F5DBB30">
      <w:pPr>
        <w:pageBreakBefore w:val="0"/>
        <w:kinsoku/>
        <w:wordWrap/>
        <w:overflowPunct/>
        <w:topLinePunct w:val="0"/>
        <w:autoSpaceDE/>
        <w:autoSpaceDN/>
        <w:bidi w:val="0"/>
        <w:adjustRightInd w:val="0"/>
        <w:snapToGrid w:val="0"/>
        <w:spacing w:line="440" w:lineRule="exact"/>
        <w:ind w:firstLine="482" w:firstLineChars="200"/>
        <w:textAlignment w:val="auto"/>
        <w:outlineLvl w:val="9"/>
        <w:rPr>
          <w:rFonts w:hint="eastAsia" w:ascii="宋体" w:hAnsi="宋体" w:eastAsia="宋体" w:cs="宋体"/>
          <w:b/>
          <w:spacing w:val="-6"/>
          <w:sz w:val="24"/>
          <w:szCs w:val="24"/>
          <w:highlight w:val="none"/>
        </w:rPr>
      </w:pPr>
      <w:r>
        <w:rPr>
          <w:rFonts w:hint="eastAsia" w:ascii="宋体" w:hAnsi="宋体" w:eastAsia="宋体" w:cs="宋体"/>
          <w:b/>
          <w:bCs/>
          <w:sz w:val="24"/>
          <w:szCs w:val="24"/>
          <w:highlight w:val="none"/>
        </w:rPr>
        <w:t xml:space="preserve">8.3  </w:t>
      </w:r>
      <w:r>
        <w:rPr>
          <w:rFonts w:hint="eastAsia" w:ascii="宋体" w:hAnsi="宋体" w:eastAsia="宋体" w:cs="宋体"/>
          <w:sz w:val="24"/>
          <w:szCs w:val="24"/>
          <w:highlight w:val="none"/>
        </w:rPr>
        <w:t>本合同未尽事宜，双方可签订补充协议，补充协议与本合同具有同等效力。</w:t>
      </w:r>
    </w:p>
    <w:p w14:paraId="7E972EEF">
      <w:pPr>
        <w:pageBreakBefore w:val="0"/>
        <w:kinsoku/>
        <w:wordWrap/>
        <w:overflowPunct/>
        <w:topLinePunct w:val="0"/>
        <w:autoSpaceDE/>
        <w:autoSpaceDN/>
        <w:bidi w:val="0"/>
        <w:adjustRightInd w:val="0"/>
        <w:snapToGrid w:val="0"/>
        <w:spacing w:line="440" w:lineRule="exact"/>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8.4  </w:t>
      </w:r>
      <w:r>
        <w:rPr>
          <w:rFonts w:hint="eastAsia" w:ascii="宋体" w:hAnsi="宋体" w:eastAsia="宋体" w:cs="宋体"/>
          <w:sz w:val="24"/>
          <w:szCs w:val="24"/>
          <w:highlight w:val="none"/>
        </w:rPr>
        <w:t>本合同双方签字盖章后生效，甲乙双方履行完合同约定的义务后，本合同即行终止。</w:t>
      </w:r>
    </w:p>
    <w:p w14:paraId="35D602A0">
      <w:pPr>
        <w:pageBreakBefore w:val="0"/>
        <w:kinsoku/>
        <w:wordWrap/>
        <w:overflowPunct/>
        <w:topLinePunct w:val="0"/>
        <w:autoSpaceDE/>
        <w:autoSpaceDN/>
        <w:bidi w:val="0"/>
        <w:adjustRightInd w:val="0"/>
        <w:snapToGrid w:val="0"/>
        <w:spacing w:line="440" w:lineRule="exact"/>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8.5  </w:t>
      </w:r>
      <w:r>
        <w:rPr>
          <w:rFonts w:hint="eastAsia" w:ascii="宋体" w:hAnsi="宋体" w:eastAsia="宋体" w:cs="宋体"/>
          <w:sz w:val="24"/>
          <w:szCs w:val="24"/>
          <w:highlight w:val="none"/>
        </w:rPr>
        <w:t>本合同一式陆份，甲方执叁份，乙方执叁份，均具有同等法律效力。</w:t>
      </w:r>
    </w:p>
    <w:p w14:paraId="0ABA74AD">
      <w:pPr>
        <w:spacing w:line="560" w:lineRule="exact"/>
        <w:ind w:firstLine="600"/>
        <w:outlineLvl w:val="9"/>
        <w:rPr>
          <w:rFonts w:hint="eastAsia" w:ascii="宋体" w:hAnsi="宋体" w:eastAsia="宋体" w:cs="宋体"/>
          <w:sz w:val="24"/>
          <w:szCs w:val="24"/>
          <w:highlight w:val="none"/>
        </w:rPr>
      </w:pPr>
    </w:p>
    <w:p w14:paraId="34823E26">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甲方：    （章）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乙方：    （章）</w:t>
      </w:r>
    </w:p>
    <w:p w14:paraId="6BC50A6B">
      <w:pPr>
        <w:spacing w:line="580" w:lineRule="exact"/>
        <w:rPr>
          <w:rFonts w:hint="eastAsia" w:ascii="宋体" w:hAnsi="宋体" w:eastAsia="宋体" w:cs="宋体"/>
          <w:sz w:val="24"/>
          <w:szCs w:val="24"/>
          <w:highlight w:val="none"/>
        </w:rPr>
      </w:pPr>
    </w:p>
    <w:p w14:paraId="6A4FFE8C">
      <w:pPr>
        <w:spacing w:line="5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法定代表人</w:t>
      </w:r>
    </w:p>
    <w:p w14:paraId="34D1E443">
      <w:pPr>
        <w:spacing w:line="5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或授权委托人：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或授权委托人：                                </w:t>
      </w:r>
    </w:p>
    <w:p w14:paraId="26E269B6">
      <w:pPr>
        <w:spacing w:line="5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78D3F6C8">
      <w:pPr>
        <w:overflowPunct w:val="0"/>
        <w:topLinePunct/>
        <w:autoSpaceDN w:val="0"/>
        <w:adjustRightInd w:val="0"/>
        <w:snapToGrid w:val="0"/>
        <w:spacing w:line="240" w:lineRule="auto"/>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日期    年    月   日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年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月  日</w:t>
      </w:r>
    </w:p>
    <w:p w14:paraId="5C141170">
      <w:pPr>
        <w:adjustRightInd w:val="0"/>
        <w:snapToGrid w:val="0"/>
        <w:spacing w:line="500" w:lineRule="exact"/>
        <w:rPr>
          <w:rFonts w:ascii="宋体" w:hAnsi="宋体" w:cs="宋体"/>
          <w:sz w:val="24"/>
          <w:highlight w:val="none"/>
          <w:u w:val="single"/>
        </w:rPr>
      </w:pPr>
    </w:p>
    <w:p w14:paraId="75FE08E9"/>
    <w:p w14:paraId="2047613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20B0500000000000000"/>
    <w:charset w:val="00"/>
    <w:family w:val="swiss"/>
    <w:pitch w:val="default"/>
    <w:sig w:usb0="00000000" w:usb1="00000000" w:usb2="00000000" w:usb3="00000000" w:csb0="00000001" w:csb1="00000000"/>
  </w:font>
  <w:font w:name="方正仿宋_GB18030">
    <w:panose1 w:val="02000000000000000000"/>
    <w:charset w:val="86"/>
    <w:family w:val="auto"/>
    <w:pitch w:val="default"/>
    <w:sig w:usb0="00000001" w:usb1="08000000" w:usb2="00000000" w:usb3="00000000" w:csb0="00040000" w:csb1="00000000"/>
    <w:embedRegular r:id="rId1" w:fontKey="{89B8CB1F-32F7-4CBC-8632-3EED993EC6D3}"/>
  </w:font>
  <w:font w:name="SourceHanSerifCNVF-Medium">
    <w:altName w:val="Segoe Print"/>
    <w:panose1 w:val="00000000000000000000"/>
    <w:charset w:val="00"/>
    <w:family w:val="auto"/>
    <w:pitch w:val="default"/>
    <w:sig w:usb0="00000000" w:usb1="00000000" w:usb2="00000000" w:usb3="00000000" w:csb0="00000000" w:csb1="00000000"/>
    <w:embedRegular r:id="rId2" w:fontKey="{DF542878-9152-4A9C-954A-D43CDA5D7A2E}"/>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embedRegular r:id="rId3" w:fontKey="{91AF6543-42C1-403F-9194-BBC7F5B23D5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9871C8"/>
    <w:multiLevelType w:val="singleLevel"/>
    <w:tmpl w:val="609871C8"/>
    <w:lvl w:ilvl="0" w:tentative="0">
      <w:start w:val="5"/>
      <w:numFmt w:val="chineseCounting"/>
      <w:suff w:val="space"/>
      <w:lvlText w:val="第%1条"/>
      <w:lvlJc w:val="left"/>
      <w:rPr>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36406E"/>
    <w:rsid w:val="039314DE"/>
    <w:rsid w:val="13392CAD"/>
    <w:rsid w:val="162B284A"/>
    <w:rsid w:val="3036406E"/>
    <w:rsid w:val="374C62C8"/>
    <w:rsid w:val="5798192F"/>
    <w:rsid w:val="6FA7614A"/>
    <w:rsid w:val="774E73E6"/>
    <w:rsid w:val="789E2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宋体"/>
      <w:b/>
      <w:kern w:val="44"/>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0" w:lineRule="atLeast"/>
    </w:pPr>
    <w:rPr>
      <w:sz w:val="30"/>
      <w:szCs w:val="20"/>
    </w:rPr>
  </w:style>
  <w:style w:type="paragraph" w:styleId="4">
    <w:name w:val="Body Text Indent"/>
    <w:basedOn w:val="1"/>
    <w:next w:val="5"/>
    <w:qFormat/>
    <w:uiPriority w:val="0"/>
    <w:pPr>
      <w:spacing w:after="120" w:afterLines="0"/>
      <w:ind w:left="420" w:leftChars="200"/>
    </w:pPr>
  </w:style>
  <w:style w:type="paragraph" w:styleId="5">
    <w:name w:val="envelope return"/>
    <w:basedOn w:val="1"/>
    <w:qFormat/>
    <w:uiPriority w:val="0"/>
    <w:pPr>
      <w:snapToGrid w:val="0"/>
    </w:pPr>
    <w:rPr>
      <w:rFonts w:ascii="Arial" w:hAnsi="Arial"/>
    </w:rPr>
  </w:style>
  <w:style w:type="paragraph" w:styleId="6">
    <w:name w:val="footer"/>
    <w:basedOn w:val="1"/>
    <w:unhideWhenUsed/>
    <w:qFormat/>
    <w:uiPriority w:val="99"/>
    <w:pPr>
      <w:tabs>
        <w:tab w:val="center" w:pos="4153"/>
        <w:tab w:val="right" w:pos="8306"/>
      </w:tabs>
      <w:snapToGrid w:val="0"/>
    </w:pPr>
    <w:rPr>
      <w:sz w:val="18"/>
      <w:szCs w:val="18"/>
    </w:rPr>
  </w:style>
  <w:style w:type="paragraph" w:styleId="7">
    <w:name w:val="Body Text First Indent"/>
    <w:basedOn w:val="3"/>
    <w:next w:val="8"/>
    <w:unhideWhenUsed/>
    <w:qFormat/>
    <w:uiPriority w:val="99"/>
    <w:pPr>
      <w:ind w:firstLine="420" w:firstLineChars="100"/>
    </w:pPr>
  </w:style>
  <w:style w:type="paragraph" w:styleId="8">
    <w:name w:val="Body Text First Indent 2"/>
    <w:basedOn w:val="4"/>
    <w:next w:val="7"/>
    <w:qFormat/>
    <w:uiPriority w:val="0"/>
    <w:pPr>
      <w:widowControl/>
      <w:overflowPunct w:val="0"/>
      <w:autoSpaceDE w:val="0"/>
      <w:autoSpaceDN w:val="0"/>
      <w:adjustRightInd w:val="0"/>
      <w:spacing w:line="360" w:lineRule="auto"/>
      <w:ind w:firstLine="420" w:firstLineChars="200"/>
      <w:jc w:val="both"/>
    </w:pPr>
    <w:rPr>
      <w:rFonts w:ascii="宋体" w:hAnsi="MS Sans Serif" w:eastAsia="宋体" w:cs="Times New Roman"/>
      <w:spacing w:val="12"/>
      <w:kern w:val="0"/>
      <w:sz w:val="24"/>
      <w:szCs w:val="20"/>
      <w:lang w:val="en-US" w:eastAsia="zh-CN" w:bidi="ar-SA"/>
    </w:rPr>
  </w:style>
  <w:style w:type="paragraph" w:styleId="11">
    <w:name w:val="List Paragraph"/>
    <w:basedOn w:val="1"/>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1941</Words>
  <Characters>2030</Characters>
  <Lines>0</Lines>
  <Paragraphs>0</Paragraphs>
  <TotalTime>8</TotalTime>
  <ScaleCrop>false</ScaleCrop>
  <LinksUpToDate>false</LinksUpToDate>
  <CharactersWithSpaces>2319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2026-07-08T09:02:00Z</dcterms:created>
  <dc:creator>琢</dc:creator>
  <cp:lastModifiedBy>琢</cp:lastModifiedBy>
  <dcterms:modified xsi:type="dcterms:W3CDTF">2026-07-13T01:56:24Z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FC64E1D382FB480092DFF5505F5AD738_13</vt:lpwstr>
  </property>
  <property fmtid="{D5CDD505-2E9C-101B-9397-08002B2CF9AE}" pid="4" name="KSOTemplateDocerSaveRecord">
    <vt:lpwstr>eyJoZGlkIjoiM2NhMzM2ZDlmNjM2ZTM0Zjc5MjQyNTVhY2E3ZmRkN2YiLCJ1c2VySWQiOiIzOTc4NDkyMzYifQ==</vt:lpwstr>
  </property>
</Properties>
</file>