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版本号：FZBD-ZC-2026-00720260812001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移动警务通终端项目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FZBD-ZC-2026-007</w:t>
      </w:r>
      <w:r>
        <w:br/>
      </w:r>
      <w:r>
        <w:br/>
      </w:r>
      <w:r>
        <w:br/>
      </w:r>
    </w:p>
    <w:p>
      <w:pPr>
        <w:pStyle w:val="null3"/>
        <w:jc w:val="center"/>
        <w:outlineLvl w:val="2"/>
      </w:pPr>
      <w:r>
        <w:rPr>
          <w:rFonts w:ascii="仿宋_GB2312" w:hAnsi="仿宋_GB2312" w:cs="仿宋_GB2312" w:eastAsia="仿宋_GB2312"/>
          <w:sz w:val="28"/>
          <w:b/>
        </w:rPr>
        <w:t>洋县公安局（+机关）</w:t>
      </w:r>
    </w:p>
    <w:p>
      <w:pPr>
        <w:pStyle w:val="null3"/>
        <w:jc w:val="center"/>
        <w:outlineLvl w:val="2"/>
      </w:pPr>
      <w:r>
        <w:rPr>
          <w:rFonts w:ascii="仿宋_GB2312" w:hAnsi="仿宋_GB2312" w:cs="仿宋_GB2312" w:eastAsia="仿宋_GB2312"/>
          <w:sz w:val="28"/>
          <w:b/>
        </w:rPr>
        <w:t>陕西方舟博德项目管理有限公司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陕西方舟博德项目管理有限公司</w:t>
      </w:r>
      <w:r>
        <w:rPr>
          <w:rFonts w:ascii="仿宋_GB2312" w:hAnsi="仿宋_GB2312" w:cs="仿宋_GB2312" w:eastAsia="仿宋_GB2312"/>
        </w:rPr>
        <w:t>（以下简称“代理机构”）受</w:t>
      </w:r>
      <w:r>
        <w:rPr>
          <w:rFonts w:ascii="仿宋_GB2312" w:hAnsi="仿宋_GB2312" w:cs="仿宋_GB2312" w:eastAsia="仿宋_GB2312"/>
        </w:rPr>
        <w:t>洋县公安局（+机关）</w:t>
      </w:r>
      <w:r>
        <w:rPr>
          <w:rFonts w:ascii="仿宋_GB2312" w:hAnsi="仿宋_GB2312" w:cs="仿宋_GB2312" w:eastAsia="仿宋_GB2312"/>
        </w:rPr>
        <w:t>委托，拟对</w:t>
      </w:r>
      <w:r>
        <w:rPr>
          <w:rFonts w:ascii="仿宋_GB2312" w:hAnsi="仿宋_GB2312" w:cs="仿宋_GB2312" w:eastAsia="仿宋_GB2312"/>
        </w:rPr>
        <w:t>移动警务通终端项目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FZBD-ZC-2026-007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移动警务通终端项目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为洋县公安局民警提供移动警务通服务，与陕西省公安厅新一代移动警务平台无缝对接。</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被授权委托代理人身份证明：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以上要求供应商需提供加盖公章的《汉中市政府采购供应商资格承诺函》。</w:t>
      </w:r>
    </w:p>
    <w:p>
      <w:pPr>
        <w:pStyle w:val="null3"/>
      </w:pPr>
      <w:r>
        <w:rPr>
          <w:rFonts w:ascii="仿宋_GB2312" w:hAnsi="仿宋_GB2312" w:cs="仿宋_GB2312" w:eastAsia="仿宋_GB2312"/>
        </w:rPr>
        <w:t>4、是否面向中、小企业：本项目为非专门面向中小企业项目，响应人如为中型、小型、微型企业的提供《中小企业声明函》；响应人如为监狱企业的，应提供监狱企业的证明文件；响应人如为残疾人福利性单位的，应提供《残疾人福利性单位声明函》（监狱企业或残疾人福利性单位视同小型、微型企业）。</w:t>
      </w:r>
    </w:p>
    <w:p>
      <w:pPr>
        <w:pStyle w:val="null3"/>
      </w:pPr>
      <w:r>
        <w:rPr>
          <w:rFonts w:ascii="仿宋_GB2312" w:hAnsi="仿宋_GB2312" w:cs="仿宋_GB2312" w:eastAsia="仿宋_GB2312"/>
        </w:rPr>
        <w:t>5、其他要求：本项目不接受联合体投标，供应商需提供非联合体书面声明。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洋县公安局（+机关）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洋县洋州街道办事处学巷街26号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洋县公安局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13630208846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陕西方舟博德项目管理有限公司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陕西省汉中市汉台区陕西省汉中市汉台区南团结街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0916-8810098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开户名称：陕西方舟博德项目管理有限公司</w:t>
            </w:r>
          </w:p>
          <w:p>
            <w:pPr>
              <w:pStyle w:val="null3"/>
            </w:pPr>
            <w:r>
              <w:rPr>
                <w:rFonts w:ascii="仿宋_GB2312" w:hAnsi="仿宋_GB2312" w:cs="仿宋_GB2312" w:eastAsia="仿宋_GB2312"/>
              </w:rPr>
              <w:t>开户银行：中国银行汉中莲湖路支行</w:t>
            </w:r>
          </w:p>
          <w:p>
            <w:pPr>
              <w:pStyle w:val="null3"/>
            </w:pPr>
            <w:r>
              <w:rPr>
                <w:rFonts w:ascii="仿宋_GB2312" w:hAnsi="仿宋_GB2312" w:cs="仿宋_GB2312" w:eastAsia="仿宋_GB2312"/>
              </w:rPr>
              <w:t>银行账号：102102346543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洋县公安局（+机关）</w:t>
      </w:r>
      <w:r>
        <w:rPr>
          <w:rFonts w:ascii="仿宋_GB2312" w:hAnsi="仿宋_GB2312" w:cs="仿宋_GB2312" w:eastAsia="仿宋_GB2312"/>
        </w:rPr>
        <w:t>和</w:t>
      </w:r>
      <w:r>
        <w:rPr>
          <w:rFonts w:ascii="仿宋_GB2312" w:hAnsi="仿宋_GB2312" w:cs="仿宋_GB2312" w:eastAsia="仿宋_GB2312"/>
        </w:rPr>
        <w:t>陕西方舟博德项目管理有限公司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洋县公安局（+机关）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陕西方舟博德项目管理有限公司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洋县公安局（+机关）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陕西方舟博德项目管理有限公司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四、构成本招标文件的各组成部分，未经采购人书面同意，供应商不得擅自复印或用于非本项目所需的其他目的。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陕西方舟博德项目管理有限公司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联系人：吴女士</w:t>
      </w:r>
    </w:p>
    <w:p>
      <w:pPr>
        <w:pStyle w:val="null3"/>
      </w:pPr>
      <w:r>
        <w:rPr>
          <w:rFonts w:ascii="仿宋_GB2312" w:hAnsi="仿宋_GB2312" w:cs="仿宋_GB2312" w:eastAsia="仿宋_GB2312"/>
        </w:rPr>
        <w:t>联系电话：0916-8810098</w:t>
      </w:r>
    </w:p>
    <w:p>
      <w:pPr>
        <w:pStyle w:val="null3"/>
      </w:pPr>
      <w:r>
        <w:rPr>
          <w:rFonts w:ascii="仿宋_GB2312" w:hAnsi="仿宋_GB2312" w:cs="仿宋_GB2312" w:eastAsia="仿宋_GB2312"/>
        </w:rPr>
        <w:t>地址：汉中市汉台区中山街街道办事处南团结街原二化厂院内二楼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为洋县公安局民警提供移动警务通服务，与陕西省公安厅新一代移动警务平台无缝对接。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2,810,000.00</w:t>
      </w:r>
    </w:p>
    <w:p>
      <w:pPr>
        <w:pStyle w:val="null3"/>
      </w:pPr>
      <w:r>
        <w:rPr>
          <w:rFonts w:ascii="仿宋_GB2312" w:hAnsi="仿宋_GB2312" w:cs="仿宋_GB2312" w:eastAsia="仿宋_GB2312"/>
        </w:rPr>
        <w:t>采购包最高限价（元）: 2,810,000.00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移动警务通终端及通讯服务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标的名称：移动警务通终端及通讯服务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35"/>
              <w:gridCol w:w="458"/>
              <w:gridCol w:w="1386"/>
              <w:gridCol w:w="235"/>
              <w:gridCol w:w="235"/>
            </w:tblGrid>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服务名称</w:t>
                  </w:r>
                </w:p>
              </w:tc>
              <w:tc>
                <w:tcPr>
                  <w:tcW w:type="dxa" w:w="1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性能参数</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移动警务双系统终端设备工具包</w:t>
                  </w:r>
                </w:p>
              </w:tc>
              <w:tc>
                <w:tcPr>
                  <w:tcW w:type="dxa" w:w="1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终端安全能力须满足GA/T1466.1-2018、GA/T1466.2-2018移动警务终端技术规范，具备双系统安全隔离、安全增强防护、证书远程安全管理、北斗优先高精度定位、设备安全管控、警务应用白名单管控安全能力；实现系统级安全水印、防截屏录屏、安全启动防护、设备远程管控、双APN并发访问、IP访问管控等业务防护效果。</w:t>
                  </w:r>
                  <w:r>
                    <w:br/>
                  </w:r>
                  <w:r>
                    <w:rPr>
                      <w:rFonts w:ascii="仿宋_GB2312" w:hAnsi="仿宋_GB2312" w:cs="仿宋_GB2312" w:eastAsia="仿宋_GB2312"/>
                      <w:sz w:val="22"/>
                      <w:color w:val="000000"/>
                    </w:rPr>
                    <w:t xml:space="preserve"> 设备屏幕尺寸：≥6.2英寸</w:t>
                  </w:r>
                  <w:r>
                    <w:br/>
                  </w:r>
                  <w:r>
                    <w:rPr>
                      <w:rFonts w:ascii="仿宋_GB2312" w:hAnsi="仿宋_GB2312" w:cs="仿宋_GB2312" w:eastAsia="仿宋_GB2312"/>
                      <w:sz w:val="22"/>
                      <w:color w:val="000000"/>
                    </w:rPr>
                    <w:t xml:space="preserve"> 屏幕像素密度PPI：≥440PPI</w:t>
                  </w:r>
                  <w:r>
                    <w:br/>
                  </w:r>
                  <w:r>
                    <w:rPr>
                      <w:rFonts w:ascii="仿宋_GB2312" w:hAnsi="仿宋_GB2312" w:cs="仿宋_GB2312" w:eastAsia="仿宋_GB2312"/>
                      <w:sz w:val="22"/>
                      <w:color w:val="000000"/>
                    </w:rPr>
                    <w:t xml:space="preserve"> 后置摄像头：≥4500万像素超聚光摄像头</w:t>
                  </w:r>
                  <w:r>
                    <w:br/>
                  </w:r>
                  <w:r>
                    <w:rPr>
                      <w:rFonts w:ascii="仿宋_GB2312" w:hAnsi="仿宋_GB2312" w:cs="仿宋_GB2312" w:eastAsia="仿宋_GB2312"/>
                      <w:sz w:val="22"/>
                      <w:color w:val="000000"/>
                    </w:rPr>
                    <w:t xml:space="preserve"> 前置摄像头：≥1200万像素超广角摄像头</w:t>
                  </w:r>
                  <w:r>
                    <w:br/>
                  </w:r>
                  <w:r>
                    <w:rPr>
                      <w:rFonts w:ascii="仿宋_GB2312" w:hAnsi="仿宋_GB2312" w:cs="仿宋_GB2312" w:eastAsia="仿宋_GB2312"/>
                      <w:sz w:val="22"/>
                      <w:color w:val="000000"/>
                    </w:rPr>
                    <w:t xml:space="preserve"> 数据存储：RAM≥8GB；ROM≥256GB</w:t>
                  </w:r>
                  <w:r>
                    <w:br/>
                  </w:r>
                  <w:r>
                    <w:rPr>
                      <w:rFonts w:ascii="仿宋_GB2312" w:hAnsi="仿宋_GB2312" w:cs="仿宋_GB2312" w:eastAsia="仿宋_GB2312"/>
                      <w:sz w:val="22"/>
                      <w:color w:val="000000"/>
                    </w:rPr>
                    <w:t xml:space="preserve"> GIS定位：支持北斗卫星定位（B1I+B1C+B2a+B2b四频），支持北斗优先定位模式，室外定位精度优于2米</w:t>
                  </w:r>
                  <w:r>
                    <w:br/>
                  </w:r>
                  <w:r>
                    <w:rPr>
                      <w:rFonts w:ascii="仿宋_GB2312" w:hAnsi="仿宋_GB2312" w:cs="仿宋_GB2312" w:eastAsia="仿宋_GB2312"/>
                      <w:sz w:val="22"/>
                      <w:color w:val="000000"/>
                    </w:rPr>
                    <w:t xml:space="preserve"> 数据线接口：USB Type-C</w:t>
                  </w:r>
                  <w:r>
                    <w:br/>
                  </w:r>
                  <w:r>
                    <w:rPr>
                      <w:rFonts w:ascii="仿宋_GB2312" w:hAnsi="仿宋_GB2312" w:cs="仿宋_GB2312" w:eastAsia="仿宋_GB2312"/>
                      <w:sz w:val="22"/>
                      <w:color w:val="000000"/>
                    </w:rPr>
                    <w:t xml:space="preserve"> 电池容量（典型值）：≥4500mAh（典型值）</w:t>
                  </w:r>
                  <w:r>
                    <w:br/>
                  </w:r>
                  <w:r>
                    <w:rPr>
                      <w:rFonts w:ascii="仿宋_GB2312" w:hAnsi="仿宋_GB2312" w:cs="仿宋_GB2312" w:eastAsia="仿宋_GB2312"/>
                      <w:sz w:val="22"/>
                      <w:color w:val="000000"/>
                    </w:rPr>
                    <w:t xml:space="preserve"> 验收要求、：本项目全部终端须完成陕西省公安厅移动警务应用平台接入测试，可正常注册、发证、上线使用，未通过则不予验收。</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276</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数据安全加密服务</w:t>
                  </w:r>
                </w:p>
              </w:tc>
              <w:tc>
                <w:tcPr>
                  <w:tcW w:type="dxa" w:w="1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警务应用客户端与后台服务器通讯过程经过VPN加密通道，对传输关键内容进行加密。</w:t>
                  </w:r>
                  <w:r>
                    <w:br/>
                  </w:r>
                  <w:r>
                    <w:rPr>
                      <w:rFonts w:ascii="仿宋_GB2312" w:hAnsi="仿宋_GB2312" w:cs="仿宋_GB2312" w:eastAsia="仿宋_GB2312"/>
                      <w:sz w:val="22"/>
                      <w:color w:val="000000"/>
                    </w:rPr>
                    <w:t xml:space="preserve"> 加密算法采用商用密码算法SM1或SM4，实现数据的加密/解密运算；实现非对称密码算法的加密、解密、签名、验证功能，支持组合密码。</w:t>
                  </w:r>
                  <w:r>
                    <w:br/>
                  </w:r>
                  <w:r>
                    <w:rPr>
                      <w:rFonts w:ascii="仿宋_GB2312" w:hAnsi="仿宋_GB2312" w:cs="仿宋_GB2312" w:eastAsia="仿宋_GB2312"/>
                      <w:sz w:val="22"/>
                      <w:color w:val="000000"/>
                    </w:rPr>
                    <w:t xml:space="preserve"> 支持随机数生成功能；提供容器分配，可分配给不同应用；具备SM1、SM4对称密码算法的加解密；支持SHA1、SM3算法的杂凑功能；提供安全访问密钥，包含口令PIN、解锁口令PIN、主控密钥、权限控制密钥、口令维护密钥、数据保护密钥；支持组合密码服务，支持数字签名、签名认证等。</w:t>
                  </w:r>
                  <w:r>
                    <w:br/>
                  </w:r>
                  <w:r>
                    <w:rPr>
                      <w:rFonts w:ascii="仿宋_GB2312" w:hAnsi="仿宋_GB2312" w:cs="仿宋_GB2312" w:eastAsia="仿宋_GB2312"/>
                      <w:sz w:val="22"/>
                      <w:color w:val="000000"/>
                    </w:rPr>
                    <w:t xml:space="preserve"> 提供安全状态、安全属性、安全机制和身份认证结合，保障密钥及数据文件安全可控；密钥的使用、更新严格受安全体系限制，满足密钥使用权限，支持在卡内完成密码运算。</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内部应用系统对接测试服务</w:t>
                  </w:r>
                </w:p>
              </w:tc>
              <w:tc>
                <w:tcPr>
                  <w:tcW w:type="dxa" w:w="1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注册管理：与MDM服务器联动，实施终端设备注册、用户发放登记、用户绑定等管理；与MDM服务器及其他设备和服务联动，开展终端认证。</w:t>
                  </w:r>
                  <w:r>
                    <w:br/>
                  </w:r>
                  <w:r>
                    <w:rPr>
                      <w:rFonts w:ascii="仿宋_GB2312" w:hAnsi="仿宋_GB2312" w:cs="仿宋_GB2312" w:eastAsia="仿宋_GB2312"/>
                      <w:sz w:val="22"/>
                      <w:color w:val="000000"/>
                    </w:rPr>
                    <w:t xml:space="preserve"> 运行检测：可采集终端序列号、终端型号、终端类型、终端操作系统等设备基础信息；可采集APN/VPN接入点信息；可采集蓝牙、WIFI等外设开启情况；可采集终端网络接口（非法外联）情况。</w:t>
                  </w:r>
                  <w:r>
                    <w:br/>
                  </w:r>
                  <w:r>
                    <w:rPr>
                      <w:rFonts w:ascii="仿宋_GB2312" w:hAnsi="仿宋_GB2312" w:cs="仿宋_GB2312" w:eastAsia="仿宋_GB2312"/>
                      <w:sz w:val="22"/>
                      <w:color w:val="000000"/>
                    </w:rPr>
                    <w:t xml:space="preserve"> 检测日志：提供警务应用安全沙箱和加密隧道，可由沙箱向后台发送应用行为日志。</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警务平台接入移动数据网络服务</w:t>
                  </w:r>
                </w:p>
              </w:tc>
              <w:tc>
                <w:tcPr>
                  <w:tcW w:type="dxa" w:w="1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服务标准：</w:t>
                  </w:r>
                  <w:r>
                    <w:br/>
                  </w:r>
                  <w:r>
                    <w:rPr>
                      <w:rFonts w:ascii="仿宋_GB2312" w:hAnsi="仿宋_GB2312" w:cs="仿宋_GB2312" w:eastAsia="仿宋_GB2312"/>
                      <w:sz w:val="22"/>
                      <w:color w:val="000000"/>
                    </w:rPr>
                    <w:t xml:space="preserve"> 数据流量：≥60GB/月国内通用流量，既能访问陕西省公安移动警务平台，又能访问移动互联网</w:t>
                  </w:r>
                  <w:r>
                    <w:br/>
                  </w:r>
                  <w:r>
                    <w:rPr>
                      <w:rFonts w:ascii="仿宋_GB2312" w:hAnsi="仿宋_GB2312" w:cs="仿宋_GB2312" w:eastAsia="仿宋_GB2312"/>
                      <w:sz w:val="22"/>
                      <w:color w:val="000000"/>
                    </w:rPr>
                    <w:t xml:space="preserve"> 工作通话：≥700分钟/月国内主叫通话</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户</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276</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维保服务</w:t>
                  </w:r>
                </w:p>
              </w:tc>
              <w:tc>
                <w:tcPr>
                  <w:tcW w:type="dxa" w:w="13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服务期内移动警务双系统终端设备质保保障；警务平台接入网络通信日常故障响应处理与技术支撑服务等。</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提供满足本服务需求的设施设备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进度款，项目进度一半时，达到付款条件起15个工作日内，支付合同总金额的40.0%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进度款，项目验收后，达到付款条件起15个工作日内，支付合同总金额的30.0%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①采购人及供应商双方必须遵守采购合同并执行合同中的各项规定，保证采购合同的正常履行。任何一方违约给对方造成的直接损失均负有赔偿责任，对方均有权视情况要求对方继续履行合同或提出解除合同。②如因供应商在履行过程中的疏忽、失职、过错等故意或者过失原因给采购人造成损失或侵害，包括但不限于采购人本身的财产损失、由此而导致的采购人对任何第三方的法律责任等，供应商对此均应承担全部的赔偿责任。③如供应商提交的成果达不到相关质量要求或未按采购人时间进度安排完成成果或最终为通过消防验收，采购人有权扣除合同支付金额和提出解除合同。 （2）争议解决办法 ①采购人及供应商双方就采购合同所产生的任何争议都应该进行友好协商，协商解决不成的，任何一方均可向项目所在地法院申请诉讼。 ②诉讼费应由败诉方承担。 ③在诉讼期间，除正在进行诉讼的部分外，合同其他部分继续执行。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成交结果公示结束后3个工作日内向代理机构提供纸质版响应文件，响应文件为正本一份，副本二份，电子版u盘一份（响应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汉中市财政局发布的《汉中市财政局关于全⾯推⾏政府采购供应商基本资格条件承诺制的通知》（汉财办采管【2024】20号）⽂件要求，供应商⽆需单独提供财务证明材料，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法定代表人或被授权委托代理人身份证明</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以上要求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非专门面向中小企业项目，响应人如为中型、小型、微型企业的提供《中小企业声明函》；响应人如为监狱企业的，应提供监狱企业的证明文件；响应人如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投标文件是否按招标文件要求签署并逐页盖章。</w:t>
            </w:r>
          </w:p>
        </w:tc>
        <w:tc>
          <w:tcPr>
            <w:tcW w:type="dxa" w:w="1661"/>
          </w:tcPr>
          <w:p>
            <w:pPr>
              <w:pStyle w:val="null3"/>
            </w:pPr>
            <w:r>
              <w:rPr>
                <w:rFonts w:ascii="仿宋_GB2312" w:hAnsi="仿宋_GB2312" w:cs="仿宋_GB2312" w:eastAsia="仿宋_GB2312"/>
              </w:rPr>
              <w:t>开标一览表 中小企业声明函 商务应答表 服务内容及服务要求应答表 保证金格式.docx 项目服务实施方案.docx 供应商应提交的相关资格证明材料.docx 投标函 残疾人福利性单位声明函 标的清单 投标文件封面 业绩相关证明材料.docx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不得提交选择性报价，报价符合招标文件要求。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投标保证金提交的金额、形式符合招标文件要求。</w:t>
            </w:r>
          </w:p>
        </w:tc>
        <w:tc>
          <w:tcPr>
            <w:tcW w:type="dxa" w:w="1661"/>
          </w:tcPr>
          <w:p>
            <w:pPr>
              <w:pStyle w:val="null3"/>
            </w:pPr>
            <w:r>
              <w:rPr>
                <w:rFonts w:ascii="仿宋_GB2312" w:hAnsi="仿宋_GB2312" w:cs="仿宋_GB2312" w:eastAsia="仿宋_GB2312"/>
              </w:rPr>
              <w:t>保证金格式.docx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针对本项服务内容制定整体服务方案，包含：①实施方案；②供应保障措施；③安全技术措施；④ 项⽬验收⽅案等。 上述4项内容，每项方案内容全面详细、阐述条理清晰详尽、符合本项目采购需求，能有效保障项目实施的得2.5分，最高10分，每有 一项内容缺失扣2.5分，每项内容有一处存在缺陷或不足扣0.5分，扣完为止（缺陷是指：内容不详细具体、条理不清晰、描述过于简单、与项目采购内容不匹配、凭空编造、出现常识性错误、不可能实现的夸 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售后方案</w:t>
            </w:r>
          </w:p>
        </w:tc>
        <w:tc>
          <w:tcPr>
            <w:tcW w:type="dxa" w:w="2492"/>
          </w:tcPr>
          <w:p>
            <w:pPr>
              <w:pStyle w:val="null3"/>
            </w:pPr>
            <w:r>
              <w:rPr>
                <w:rFonts w:ascii="仿宋_GB2312" w:hAnsi="仿宋_GB2312" w:cs="仿宋_GB2312" w:eastAsia="仿宋_GB2312"/>
              </w:rPr>
              <w:t>针对本项目的招标文件要求编制售后方案，包含：①日常维护方案；②售后服务网点的设定及服务人员安排；③售后响应时限；④售后服务流程及故障解决措施等。 上述 4项内容，每项方案内容全面详细、阐述条理清晰详尽、符合本项目采购需求，能有效保障项目实施的得2.5分，最高10分，每有 一项内容缺失扣2.5分，每项内容有一处存在缺陷或不足扣0.5分，扣完为止（缺陷是指：内容不详细具体、条理不清晰、描述过于简单、与项目采购内容不匹配、凭空编造、出现常识性错误、不可能实现的夸 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针对本项提供质量保障措施，包含：①服务质量目标；②质量管理制度；③质量保障措施；④内控管理制度等。 上述 4 项内容，每项方案内容全面详细、阐述条理清晰详尽、符合本项目采购需求，能有效保障项目实施的得 2.5分，最高10分，每有 一项内容缺失扣2.5分，每项内容有一处存在缺陷或不足扣0.5分，扣完为止（缺陷是指：内容不详细具体、条理不清晰、描述过于简单、与项目采购内容不匹配、凭空编造、出现常识性错误、不可能实现的夸 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为保证使用单位能熟练操作维护和正常使用，并进行简单故障排查处理，编制培训方案，包含：①培训方法及时间；②培训目的及内容。 上述 2 项内容，每项方案内容全面详细、阐述条理清晰详尽、符合本项目采购需求，能有效保障项目实施的得2.5分，最高5分，每有 一项内容缺失扣2.5分，每项内容有一处存在缺陷或不足扣0.5分，扣完为止（缺陷是指：内容不详细具体、条理不清晰、描述过于简单、与项目采购内容不匹配、凭空编造、出现常识性错误、不可能实现的夸 大情形、存在不适用项目实际情况的情形等）。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针对本项目实际情况，在项目过程中可能出现的突发事件，提供详细的应急预案措施和解决方案，包含①受理方法及响应时间；②处理流程及解决方案等内容。 上述 2项内容，每项方案内容全面详细、阐述条理清晰详尽、符合本项目采购需求，能有效保障项目实施的得2.5分，最高5分，每有 一项内容缺失扣2.5分，每项内容有一处存在缺陷或不足扣0.5分，扣完为止（缺陷是指：内容不详细具体、条理不清晰、描述过于简单、与项目采购内容不匹配、凭空编造、出现常识性错误、不可能实现的夸 大情形、存在不适用项目实际情况的情形等）。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团队能力</w:t>
            </w:r>
          </w:p>
        </w:tc>
        <w:tc>
          <w:tcPr>
            <w:tcW w:type="dxa" w:w="2492"/>
          </w:tcPr>
          <w:p>
            <w:pPr>
              <w:pStyle w:val="null3"/>
            </w:pPr>
            <w:r>
              <w:rPr>
                <w:rFonts w:ascii="仿宋_GB2312" w:hAnsi="仿宋_GB2312" w:cs="仿宋_GB2312" w:eastAsia="仿宋_GB2312"/>
              </w:rPr>
              <w:t>①项目负责人具备中级及以上相关专业工程师证书得5分，最高得5分；（提供投标人开标前6个月内任意1个月的缴纳社保证明，未提供不得分） ②项目技术负责人具备中级及以上相关专业工程师证书得5分，最高得5分；（提供投标人开标前6个月内任意1个月的缴纳社保证明，未提供不得分） ③项目团队成员具有相关专业证书，每人具有相关专业证书得2分，最高得10分；（提供投标人开标前6个月内任意1个月的缴纳社保证明，未提供不得分） （相关专业证书：如网络工程师、通信工程师、系统集成项目管理师证书、注册信息安全工程师等）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拟派项目负责人工作年限</w:t>
            </w:r>
          </w:p>
        </w:tc>
        <w:tc>
          <w:tcPr>
            <w:tcW w:type="dxa" w:w="2492"/>
          </w:tcPr>
          <w:p>
            <w:pPr>
              <w:pStyle w:val="null3"/>
            </w:pPr>
            <w:r>
              <w:rPr>
                <w:rFonts w:ascii="仿宋_GB2312" w:hAnsi="仿宋_GB2312" w:cs="仿宋_GB2312" w:eastAsia="仿宋_GB2312"/>
              </w:rPr>
              <w:t>拟派项目负责人具有5年及以上工作经历的得5分；3年及以上，但在5年以下的得3分；1年及以上，但在3年以下的得2分；1年以下的得1分。 评审依据：以供应商提供的加盖公章的拟派项目负责人相关证书的扫描件或复印件为准，时间计算为发证之日起至今，未提供的不得分（相关证件为相关专业的职称证书为准；如供应商同时提供多个证书，以发证时间最早的证书计算）；</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2023年1月1日以来的类似项目业绩：每提供一份有效类似项目业绩得 2.5 分, 最高 5 分。无此项内容不得分。（业绩证明材料以中标/成交通知书或合同复印件并加盖企业公章为准）。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备用资源服务承诺</w:t>
            </w:r>
          </w:p>
        </w:tc>
        <w:tc>
          <w:tcPr>
            <w:tcW w:type="dxa" w:w="2492"/>
          </w:tcPr>
          <w:p>
            <w:pPr>
              <w:pStyle w:val="null3"/>
            </w:pPr>
            <w:r>
              <w:rPr>
                <w:rFonts w:ascii="仿宋_GB2312" w:hAnsi="仿宋_GB2312" w:cs="仿宋_GB2312" w:eastAsia="仿宋_GB2312"/>
              </w:rPr>
              <w:t>供应商提供本项目《备用资源服务承诺函》，内容包含备用终端储备、备用通信资源、故障替补保障、应急替换机制、密钥证书应急备份保障等全部核心内容的得5分，未提供不得分。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产品供货渠道合法，无假货、水货、翻新货且无产权纠纷，质量合格； 提供产品合法来源渠道证明：不限于产品授权书或销售协议等，提供得5分，未提供不得分。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运维人员保密承诺</w:t>
            </w:r>
          </w:p>
        </w:tc>
        <w:tc>
          <w:tcPr>
            <w:tcW w:type="dxa" w:w="2492"/>
          </w:tcPr>
          <w:p>
            <w:pPr>
              <w:pStyle w:val="null3"/>
            </w:pPr>
            <w:r>
              <w:rPr>
                <w:rFonts w:ascii="仿宋_GB2312" w:hAnsi="仿宋_GB2312" w:cs="仿宋_GB2312" w:eastAsia="仿宋_GB2312"/>
              </w:rPr>
              <w:t>供应商提供针对本项目专项保密管理制度、项目运维人员保密承诺书两项完整的书面证明材料的，得5分；仅提供其中任意一项材料的，得2.5分；未提供不得分。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交付接入及运维保障履约承诺书</w:t>
            </w:r>
          </w:p>
        </w:tc>
        <w:tc>
          <w:tcPr>
            <w:tcW w:type="dxa" w:w="2492"/>
          </w:tcPr>
          <w:p>
            <w:pPr>
              <w:pStyle w:val="null3"/>
            </w:pPr>
            <w:r>
              <w:rPr>
                <w:rFonts w:ascii="仿宋_GB2312" w:hAnsi="仿宋_GB2312" w:cs="仿宋_GB2312" w:eastAsia="仿宋_GB2312"/>
              </w:rPr>
              <w:t>供应商提供本项目《交付接入及运维保障履约承诺书》，内容包含平台接入调试、交付保障、上线使用保障、日常运维服务、故障处置保障全部核心内容的得5分，未提供不得分。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满足招标文件要求且最后报价最低的供应商的价格为基准价，其价格分为满分。其他供应商的价格分统一按照下列公式计算：投标报价得分=（评标基准价/最后投标报价）×价格权值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详见附件：项目服务实施方案.docx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详见附件：保证金格式.docx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