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版本号：ZCZB-2026-011220260512001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合阳县政府投资项目2026年度咨询服务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ZCZB-2026-0112</w:t>
      </w:r>
      <w:r>
        <w:br/>
      </w:r>
      <w:r>
        <w:br/>
      </w:r>
      <w:r>
        <w:br/>
      </w:r>
    </w:p>
    <w:p>
      <w:pPr>
        <w:pStyle w:val="null3"/>
        <w:jc w:val="center"/>
        <w:outlineLvl w:val="2"/>
      </w:pPr>
      <w:r>
        <w:rPr>
          <w:rFonts w:ascii="仿宋_GB2312" w:hAnsi="仿宋_GB2312" w:cs="仿宋_GB2312" w:eastAsia="仿宋_GB2312"/>
          <w:sz w:val="28"/>
          <w:b/>
        </w:rPr>
        <w:t>合阳县发展和改革局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合阳县发展和改革局</w:t>
      </w:r>
      <w:r>
        <w:rPr>
          <w:rFonts w:ascii="仿宋_GB2312" w:hAnsi="仿宋_GB2312" w:cs="仿宋_GB2312" w:eastAsia="仿宋_GB2312"/>
        </w:rPr>
        <w:t>委托，拟对</w:t>
      </w:r>
      <w:r>
        <w:rPr>
          <w:rFonts w:ascii="仿宋_GB2312" w:hAnsi="仿宋_GB2312" w:cs="仿宋_GB2312" w:eastAsia="仿宋_GB2312"/>
        </w:rPr>
        <w:t>合阳县政府投资项目2026年度咨询服务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ZCZB-2026-0112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合阳县政府投资项目2026年度咨询服务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合阳县政府投资项目2026年度咨询服务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2、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其他：单位负责人为同一人或者存在直接控股、管理关系的不同单位，不得参加同一合同项下的政府采购活动，为采购项目提供整体设计、规范编制或者项目管理、监理、检测等服务的供应商，不得再参加该采购项目；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陕西省渭南市合阳县东大街29号政府大院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何胜军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15191329213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18049223846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合阳县发展和改革局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联系电话：18049223846</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合阳县政府投资项目2026年度咨询服务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政府投资项目2026年度咨询服务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标的名称：政府投资项目2026年度咨询服务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left"/>
            </w:pPr>
            <w:r>
              <w:rPr>
                <w:rFonts w:ascii="仿宋_GB2312" w:hAnsi="仿宋_GB2312" w:cs="仿宋_GB2312" w:eastAsia="仿宋_GB2312"/>
                <w:sz w:val="30"/>
              </w:rPr>
              <w:t>一、服务范围</w:t>
            </w:r>
          </w:p>
          <w:p>
            <w:pPr>
              <w:pStyle w:val="null3"/>
              <w:spacing w:before="285"/>
              <w:ind w:left="15" w:right="15" w:firstLine="482"/>
              <w:jc w:val="both"/>
            </w:pPr>
            <w:r>
              <w:rPr>
                <w:rFonts w:ascii="仿宋_GB2312" w:hAnsi="仿宋_GB2312" w:cs="仿宋_GB2312" w:eastAsia="仿宋_GB2312"/>
                <w:sz w:val="24"/>
              </w:rPr>
              <w:t>重点围绕项目申报政策精准指导、重大项目清单建设、重大项目提质增效、重点项目申报预评估、</w:t>
            </w:r>
            <w:r>
              <w:rPr>
                <w:rFonts w:ascii="仿宋_GB2312" w:hAnsi="仿宋_GB2312" w:cs="仿宋_GB2312" w:eastAsia="仿宋_GB2312"/>
                <w:sz w:val="24"/>
              </w:rPr>
              <w:t>重大</w:t>
            </w:r>
            <w:r>
              <w:rPr>
                <w:rFonts w:ascii="仿宋_GB2312" w:hAnsi="仿宋_GB2312" w:cs="仿宋_GB2312" w:eastAsia="仿宋_GB2312"/>
                <w:sz w:val="24"/>
              </w:rPr>
              <w:t>项目谋划等领域开展咨询服务。根据咨询行业相关规范，结合团队丰富经验，对政策性资金项目清单、</w:t>
            </w:r>
            <w:r>
              <w:rPr>
                <w:rFonts w:ascii="仿宋_GB2312" w:hAnsi="仿宋_GB2312" w:cs="仿宋_GB2312" w:eastAsia="仿宋_GB2312"/>
                <w:sz w:val="24"/>
              </w:rPr>
              <w:t>“十五五 ”专项规划项目清单、重点产业链项目清单进行梳理。</w:t>
            </w:r>
          </w:p>
          <w:p>
            <w:pPr>
              <w:pStyle w:val="null3"/>
              <w:spacing w:before="285"/>
              <w:ind w:left="15" w:right="15" w:firstLine="482"/>
              <w:jc w:val="both"/>
            </w:pPr>
            <w:r>
              <w:rPr>
                <w:rFonts w:ascii="仿宋_GB2312" w:hAnsi="仿宋_GB2312" w:cs="仿宋_GB2312" w:eastAsia="仿宋_GB2312"/>
                <w:sz w:val="30"/>
              </w:rPr>
              <w:t>二、服务内容</w:t>
            </w:r>
          </w:p>
          <w:p>
            <w:pPr>
              <w:pStyle w:val="null3"/>
              <w:ind w:firstLine="600"/>
              <w:jc w:val="left"/>
            </w:pPr>
            <w:r>
              <w:rPr>
                <w:rFonts w:ascii="仿宋_GB2312" w:hAnsi="仿宋_GB2312" w:cs="仿宋_GB2312" w:eastAsia="仿宋_GB2312"/>
                <w:sz w:val="24"/>
              </w:rPr>
              <w:t>编制完成《</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合阳</w:t>
            </w:r>
            <w:r>
              <w:rPr>
                <w:rFonts w:ascii="仿宋_GB2312" w:hAnsi="仿宋_GB2312" w:cs="仿宋_GB2312" w:eastAsia="仿宋_GB2312"/>
                <w:sz w:val="24"/>
              </w:rPr>
              <w:t>县项目申报政策精准指导工作报告》《</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合阳</w:t>
            </w:r>
            <w:r>
              <w:rPr>
                <w:rFonts w:ascii="仿宋_GB2312" w:hAnsi="仿宋_GB2312" w:cs="仿宋_GB2312" w:eastAsia="仿宋_GB2312"/>
                <w:sz w:val="24"/>
              </w:rPr>
              <w:t>县重大项目滚动储备清单》，包含《中长期项目清单》、《重大项目清单》，《</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合阳</w:t>
            </w:r>
            <w:r>
              <w:rPr>
                <w:rFonts w:ascii="仿宋_GB2312" w:hAnsi="仿宋_GB2312" w:cs="仿宋_GB2312" w:eastAsia="仿宋_GB2312"/>
                <w:sz w:val="24"/>
              </w:rPr>
              <w:t>县重点项目研判分析工作报告》《</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合阳</w:t>
            </w:r>
            <w:r>
              <w:rPr>
                <w:rFonts w:ascii="仿宋_GB2312" w:hAnsi="仿宋_GB2312" w:cs="仿宋_GB2312" w:eastAsia="仿宋_GB2312"/>
                <w:sz w:val="24"/>
              </w:rPr>
              <w:t>县重点项目申报预评估工作报告》《</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合阳</w:t>
            </w:r>
            <w:r>
              <w:rPr>
                <w:rFonts w:ascii="仿宋_GB2312" w:hAnsi="仿宋_GB2312" w:cs="仿宋_GB2312" w:eastAsia="仿宋_GB2312"/>
                <w:sz w:val="24"/>
              </w:rPr>
              <w:t>县项目谋划工作报告》等文件，包含全年开展</w:t>
            </w:r>
            <w:r>
              <w:rPr>
                <w:rFonts w:ascii="仿宋_GB2312" w:hAnsi="仿宋_GB2312" w:cs="仿宋_GB2312" w:eastAsia="仿宋_GB2312"/>
                <w:sz w:val="24"/>
              </w:rPr>
              <w:t>2</w:t>
            </w:r>
            <w:r>
              <w:rPr>
                <w:rFonts w:ascii="仿宋_GB2312" w:hAnsi="仿宋_GB2312" w:cs="仿宋_GB2312" w:eastAsia="仿宋_GB2312"/>
                <w:sz w:val="24"/>
              </w:rPr>
              <w:t>次专题调研、培训、讲座，及时开展申报政策咨询、修改建议、核报预审等服务，对谋划的重大项目提出符合政策方向、政策要求的修改建议，以高质量的项目储备提升申报成功率。</w:t>
            </w:r>
          </w:p>
          <w:p>
            <w:pPr>
              <w:pStyle w:val="null3"/>
              <w:ind w:firstLine="600"/>
              <w:jc w:val="left"/>
            </w:pPr>
            <w:r>
              <w:rPr>
                <w:rFonts w:ascii="仿宋_GB2312" w:hAnsi="仿宋_GB2312" w:cs="仿宋_GB2312" w:eastAsia="仿宋_GB2312"/>
                <w:sz w:val="30"/>
              </w:rPr>
              <w:t>三、服务质量、标准、期限、效率等要求</w:t>
            </w:r>
          </w:p>
          <w:p>
            <w:pPr>
              <w:pStyle w:val="null3"/>
              <w:ind w:firstLine="600"/>
              <w:jc w:val="left"/>
            </w:pPr>
            <w:r>
              <w:rPr>
                <w:rFonts w:ascii="仿宋_GB2312" w:hAnsi="仿宋_GB2312" w:cs="仿宋_GB2312" w:eastAsia="仿宋_GB2312"/>
                <w:sz w:val="30"/>
              </w:rPr>
              <w:t>（一）服务期：一年。</w:t>
            </w:r>
          </w:p>
          <w:p>
            <w:pPr>
              <w:pStyle w:val="null3"/>
              <w:ind w:firstLine="600"/>
              <w:jc w:val="left"/>
            </w:pPr>
            <w:r>
              <w:rPr>
                <w:rFonts w:ascii="仿宋_GB2312" w:hAnsi="仿宋_GB2312" w:cs="仿宋_GB2312" w:eastAsia="仿宋_GB2312"/>
                <w:sz w:val="30"/>
              </w:rPr>
              <w:t>（二）服务地点：采购人指定地点</w:t>
            </w:r>
          </w:p>
          <w:p>
            <w:pPr>
              <w:pStyle w:val="null3"/>
              <w:ind w:firstLine="600"/>
              <w:jc w:val="left"/>
            </w:pPr>
            <w:r>
              <w:rPr>
                <w:rFonts w:ascii="仿宋_GB2312" w:hAnsi="仿宋_GB2312" w:cs="仿宋_GB2312" w:eastAsia="仿宋_GB2312"/>
                <w:sz w:val="30"/>
              </w:rPr>
              <w:t>（三）服务标准：达到竞争性磋商文件要求及国家相关规范标准。</w:t>
            </w:r>
          </w:p>
          <w:p>
            <w:pPr>
              <w:pStyle w:val="null3"/>
              <w:ind w:firstLine="600"/>
              <w:jc w:val="left"/>
            </w:pPr>
            <w:r>
              <w:rPr>
                <w:rFonts w:ascii="仿宋_GB2312" w:hAnsi="仿宋_GB2312" w:cs="仿宋_GB2312" w:eastAsia="仿宋_GB2312"/>
                <w:sz w:val="30"/>
              </w:rPr>
              <w:t>四、付款方式</w:t>
            </w:r>
          </w:p>
          <w:p>
            <w:pPr>
              <w:pStyle w:val="null3"/>
              <w:ind w:firstLine="600"/>
              <w:jc w:val="left"/>
            </w:pPr>
            <w:r>
              <w:rPr>
                <w:rFonts w:ascii="仿宋_GB2312" w:hAnsi="仿宋_GB2312" w:cs="仿宋_GB2312" w:eastAsia="仿宋_GB2312"/>
                <w:sz w:val="30"/>
              </w:rPr>
              <w:t>付款方式：合同签订后，支付合同价款的</w:t>
            </w:r>
            <w:r>
              <w:rPr>
                <w:rFonts w:ascii="仿宋_GB2312" w:hAnsi="仿宋_GB2312" w:cs="仿宋_GB2312" w:eastAsia="仿宋_GB2312"/>
                <w:sz w:val="30"/>
              </w:rPr>
              <w:t>40%；项目中期，支付合同价款的30%；项目完成后，支付合同价款的30%。</w:t>
            </w:r>
          </w:p>
          <w:p>
            <w:pPr>
              <w:pStyle w:val="null3"/>
              <w:ind w:firstLine="600"/>
              <w:jc w:val="left"/>
            </w:pPr>
            <w:r>
              <w:rPr>
                <w:rFonts w:ascii="仿宋_GB2312" w:hAnsi="仿宋_GB2312" w:cs="仿宋_GB2312" w:eastAsia="仿宋_GB2312"/>
                <w:sz w:val="30"/>
              </w:rPr>
              <w:t>支付方式：银行转账。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验收将依据合同文本及其附件、竞争性磋商文件、磋商响应文件、 国家及行业相关标准、规范及采购人的要求进行验收。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项目中期</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在合同履行过程中发生争议，双方应当协商解决，当事人双方不愿意协商、调解或者协商、调解不成的，双方商定向甲方所在地人民法院提起诉讼。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 2.税收缴纳证明：提供2025年5月1日以来任意一个月税收缴纳证明（至少包含增值税或企业所得税其中一种），依法免税或不需要缴纳税收的单位应提供相关证明材料； 3.社会保障资金缴纳证明：提供2025年5月1日以来任意一个月的社会保障资金缴存单据或社保机构开具的社会保险参保缴费情况证明，依法不需要缴纳社会保障资金的单位应提供相关证明材料； 4.具备履行合同所必需的设备和专业技术能力的证明材料（书面声明）； 5.参加政府采购活动前3年内在经营活动中没有重大违法记录的书面声明； 6.企业法人具有有效的营业执照（具备统一社会信用代码）；事业法人应具有有效的事业单位法人证；其他组织应具有合法证明文件；自然人具有身份证明文件；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投标（响应）文件构成无重大缺项，按照采购文件要求编写投标（响应）文件。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投标（响应）文件的签署、加盖印章合格、有效；提供的各种证明文件、数据、资料有效。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投标方案无重大缺漏项；技术方案无重大偏离；商务条款无重大偏离；未对合同中规定的双方的权利和义务做出实质性修改；服务要求的响应无重大偏离；已按要求交纳投标保证金。</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采购文件其他章节中对无效投标的规定。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项目的理解与分析</w:t>
            </w:r>
          </w:p>
        </w:tc>
        <w:tc>
          <w:tcPr>
            <w:tcW w:type="dxa" w:w="2492"/>
          </w:tcPr>
          <w:p>
            <w:pPr>
              <w:pStyle w:val="null3"/>
            </w:pPr>
            <w:r>
              <w:rPr>
                <w:rFonts w:ascii="仿宋_GB2312" w:hAnsi="仿宋_GB2312" w:cs="仿宋_GB2312" w:eastAsia="仿宋_GB2312"/>
              </w:rPr>
              <w:t>一、评审内容 ①背景及必要性；②主要研究对象及项目范围； ③研究内容及重点难点。 二、评审标准： 1.完整性：内容全面，对评审内容中的各项要求有详细阐述； 2.可实施性：切合本项目实际情况，提出步骤清晰、合理的方案； 3.针对性：能够紧扣项目实际情况，内容科学合理。 三、赋分标准（满分 9 分） ①背景及必要性：每满足 1 项评审标准得 1 分，满分3 分；每缺少一项内容扣 1 分，扣完为止。每有一处描述有缺陷的扣0.5 分，该项扣完为止； ②主要研究对象及项目范围：每满足 1 项评审标准得 1 分，满分 3 分；每缺少一项内容扣 1 分，扣完为止。每有一处描述有缺陷的扣0.5 分，该项扣完为止； ③研究内容及重点难点：每满足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①工作思路；②内容框架；③咨询服务工作流程与实施步骤 二、评审标准： 1.完整性：内容全面，对评审内容中的各项要求有详细阐述； 2.可实施性：切合本项目实际情况，提出步骤清晰、合理的方案； 3.针对性：能够紧扣项目实际情况，内容科学合理。 三、赋分标准（满分 9 分） ①工作思路：每满足 1 项评审标准得 1 分，满分3 分；每缺少一项内容扣 1 分，扣完为止。每有一处描述有缺陷的扣0.5 分，该项扣完为止； ②内容框架：每满足 1 项评审标准得 1 分，满分3 分；每缺少一项内容扣 1 分，扣完为止。每有一处描述有缺陷的扣0.5 分，该项扣完为止； ③咨询服务工作流程与实施步骤：每满足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专项服务方案</w:t>
            </w:r>
          </w:p>
        </w:tc>
        <w:tc>
          <w:tcPr>
            <w:tcW w:type="dxa" w:w="2492"/>
          </w:tcPr>
          <w:p>
            <w:pPr>
              <w:pStyle w:val="null3"/>
            </w:pPr>
            <w:r>
              <w:rPr>
                <w:rFonts w:ascii="仿宋_GB2312" w:hAnsi="仿宋_GB2312" w:cs="仿宋_GB2312" w:eastAsia="仿宋_GB2312"/>
              </w:rPr>
              <w:t>一、评审内容 ①项目的重点谋划方向；②资金重点争取方向； 二、评审标准： 1.完整性：方案全面，对评审内容中的各项要求有详细阐述； 2.可实施性：切合本项目实际情况，提出步骤清晰、合理的方案； 3.针对性：方案能够紧扣项目实际情况，内容科学合理。 三、赋分标准（满分 6 分） ①项目的重点谋划方向：每满足 1 项评审标准得 1 分，满分3 分；每缺少一项内容扣 1 分，扣完为止。每有一处描述有缺陷的扣0.5 分，该项扣完为止； ②资金重点争取方向：每满足 1 项评审标准得 1 分，满分 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一、评审内容 ①项目重点难点分析；②重点难点具体应对措施；③项目风险识别与应对方案； 二、评审标准： 1.完整性：内容全面，对评审内容中的各项要求有详细阐述； 2.可实施性：切合本项目实际情况，提出步骤清晰、合理的方案； 3.针对性：能够紧扣项目实际情况，内容科学合理。 三、赋分标准（满分 9分） ①项目重点难点分析：每满足 1 项评审标准得 1 分，满分 3 分；每缺少一项内容扣 1 分，扣完为止。每有一处描述有缺陷的扣0.5 分，该项扣完为止； ②重点难点具体应对措施:每满足 1 项评审标准得 1 分，满分 3 分；每缺少一项内容扣 1 分，扣完为止。每有一处描述有缺陷的扣0.5 分，该项扣完为止； ③项目风险识别与应对方案:每满足 1 项评审标准得 1 分，满分 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①进度保障措施；②项目各阶段进度计划安排； 二、评审标准： 1.完整性：内容全面，对评审内容中的各项要求有详细阐述； 2.可实施性：切合本项目实际情况，提出步骤清晰、合理的方案； 3.针对性：方案能够紧扣项目实际情况，内容科学合理。 三、赋分标准（满分 6 分） ①进度保障措施:每满足 1 项评审标准得 1 分，满分 3 分；每缺少一项内容扣 1 分，扣完为止。每有一处描述有缺陷的扣0.5 分，该项扣完为止； ②项目各阶段进度计划安排:每满足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技术团队配置</w:t>
            </w:r>
          </w:p>
        </w:tc>
        <w:tc>
          <w:tcPr>
            <w:tcW w:type="dxa" w:w="2492"/>
          </w:tcPr>
          <w:p>
            <w:pPr>
              <w:pStyle w:val="null3"/>
            </w:pPr>
            <w:r>
              <w:rPr>
                <w:rFonts w:ascii="仿宋_GB2312" w:hAnsi="仿宋_GB2312" w:cs="仿宋_GB2312" w:eastAsia="仿宋_GB2312"/>
              </w:rPr>
              <w:t>一、评审内容 ①本项目配备人员岗位职责；②团队技术人员专业结构；③人员服务质量的监督考核制度； 二、评审标准： 1.完整性：方案全面，对评审内容中的各项要求有详细阐述； 2.可实施性：切合本项目实际情况，提出步骤清晰、合理的方案； 3.针对性：方案能够紧扣项目实际情况，内容科学合理。 三、赋分标准（满分 9 分） ①本项目人员岗位职责：每满足 1 项评审标准得 1 分，满分3 分；每缺少一项内容扣 1 分，扣完为止。每有一处描述有缺陷的扣0.5 分，该项扣完为止； ②团队技术人员专业结构：每满足 1 项评审标准得 1 分，满分3 分；每缺少一项内容扣 1 分，扣完为止。每有一处描述有缺陷的扣0.5 分，该项扣完为止； ③人员服务质量的监督考核制度：每满足 1 项评审标准得 1 分，满分3分；每缺少一项内容扣 1 分，扣完为止。每有一处描述有缺陷的扣0.5分，该项扣完为止；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1.项目负责人同时具有高级职称及咨询工程师(投资)证书(提供相应资历佐证材料，如:学历证书、职称证书、职业水平证书等任一能证明相应得分项的证明文件》，资料提供真实有效且齐全得 1 分；提供虚假或不齐全不得分。 2.项目团队其他人员中具有高级职称或咨询工程师(投资)证书(提供相应资历佐证材料，如:学历证书、职称证书、职业水平证书等任一能证明相应得分项的证明文件)，每提供一名人员资料真实有效且齐全得 1 分。本项最高得 5 分，提供虚假或不齐全不得分。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①质量保证管理体系；②质量管理措施；③后续服务等保障措施； 二、评审标准： 1.完整性：方案全面，对评审内容中的各项要求有详细阐述； 2.可实施性：切合本项目实际情况，提出步骤清晰、合理的方案； 3.针对性：方案能够紧扣项目实际情况，内容科学合理。 三、赋分标准（满分 9 分）①质量控制：每满足 1 项评审标准得 1 分，满分3 分；每缺少一项内容扣1 分，扣完为止。每有一处描述有缺陷的扣0.5 分，该项扣完为止； ②质量管理措施：每满足 1 项评审标准得 1 分，满分3 分；每缺少一项内容扣 1 分，扣完为止。每有一处描述有缺陷的扣0.5 分，该项扣完为止； ③后续服务等保障措施：每满足 1 项评审标准得 1 分，满分3 分；每缺少一项内容扣 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①风险分析与监测预警；②应对措施。 二、评审标准： 1.完整性：方案全面，对评审内容中的各项要求有详细阐述； 2.可实施性：切合本项目实际情况，提出步骤清晰、合理的方案； 3.针对性：方案能够紧扣项目实际情况，内容科学合理。 三、赋分标准（满分 6 分） ①风险分析与监测预警：每满足 1 项评审标准得 1 分，满分3 分；每缺少一项内容扣 1 分，扣完为止。每有一处描述有缺陷的扣0.5 分，该项扣完为止； ②应对措施：每满足 1 项评审标准得 1 分，满分3 分；每缺少一项内容扣1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保密与服务承诺</w:t>
            </w:r>
          </w:p>
        </w:tc>
        <w:tc>
          <w:tcPr>
            <w:tcW w:type="dxa" w:w="2492"/>
          </w:tcPr>
          <w:p>
            <w:pPr>
              <w:pStyle w:val="null3"/>
            </w:pPr>
            <w:r>
              <w:rPr>
                <w:rFonts w:ascii="仿宋_GB2312" w:hAnsi="仿宋_GB2312" w:cs="仿宋_GB2312" w:eastAsia="仿宋_GB2312"/>
              </w:rPr>
              <w:t>一、评审内容 ①保密制度；②保密措施；③服务承诺。 二、评审标准： 1.完整性：方案全面，对评审内容中的各项要求有详细阐述； 2.可实施性：切合本项目实际情况，提出步骤清晰、合理的方案； 3.针对性：方案能够紧扣项目实际情况，内容科学合理。 三、赋分标准（满分 9 分） ①保密制度：每满足 1 项评审标准得 1 分，满分3 分；每缺少一项内容扣1 分，扣完为止。每有一处描述有缺陷的扣0.5 分，该项扣完为止； ②保密措施：每满足 1 项评审标准得 1 分，满分3 分；每缺少一项内容扣1 分，扣完为止。每有一处描述有缺陷的扣0.5 分，该项扣完为止； ③服务承诺：每满足 1 项评审标准得 1 分，满分3 分；每缺少一项内容扣1 分，扣完为止。每有一处描述有缺陷的扣0.5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沟通协调与资料管理机制</w:t>
            </w:r>
          </w:p>
        </w:tc>
        <w:tc>
          <w:tcPr>
            <w:tcW w:type="dxa" w:w="2492"/>
          </w:tcPr>
          <w:p>
            <w:pPr>
              <w:pStyle w:val="null3"/>
            </w:pPr>
            <w:r>
              <w:rPr>
                <w:rFonts w:ascii="仿宋_GB2312" w:hAnsi="仿宋_GB2312" w:cs="仿宋_GB2312" w:eastAsia="仿宋_GB2312"/>
              </w:rPr>
              <w:t>供应商能够对沟通协调与资料管理机制进行详细说明。 （1）全面阐述以上内容，能够清晰地表述沟通协调机制与资料管理全流程内容，体系完善、逻辑严谨、贴合项目需求：得4分； （2）基本能够涵盖沟通协调、资料管理核心内容，但表述不够精准、体系不够完善：得2分； （3）仅简单提及相关内容，阐述笼统、无具体实施细则：得1分； 不提供：得0分。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各阶段咨询服务具体内容及成果</w:t>
            </w:r>
          </w:p>
        </w:tc>
        <w:tc>
          <w:tcPr>
            <w:tcW w:type="dxa" w:w="2492"/>
          </w:tcPr>
          <w:p>
            <w:pPr>
              <w:pStyle w:val="null3"/>
            </w:pPr>
            <w:r>
              <w:rPr>
                <w:rFonts w:ascii="仿宋_GB2312" w:hAnsi="仿宋_GB2312" w:cs="仿宋_GB2312" w:eastAsia="仿宋_GB2312"/>
              </w:rPr>
              <w:t>供应商能够对各阶段咨询服务具体内容及成果进行详细说明。 （1）全面完整清晰阐述各阶段咨询服务具体内容、实施流程，明确各阶段成果形式及交付标准，内容贴合项目、体系完整、逻辑严谨：得3分； （2）基本能够涵盖各阶段咨询服务内容与成果核心要点，但内容表述不够精准，流程或成果要求不够完善：得2分； （3）仅简单罗列咨询服务阶段及对应内容，无具体实施细节，成果形式不明确、内容笼统：得1分； 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2、有效最低评审价格得15分。 3、其他报价得分按（有效最低评审价格/评审价格）×15的公式计算其得分。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