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DCA44">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仿宋" w:hAnsi="仿宋" w:eastAsia="仿宋" w:cs="仿宋"/>
          <w:b/>
          <w:bCs/>
          <w:color w:val="000000"/>
          <w:sz w:val="36"/>
          <w:szCs w:val="36"/>
          <w:highlight w:val="none"/>
          <w:lang w:eastAsia="zh-CN"/>
        </w:rPr>
      </w:pPr>
    </w:p>
    <w:p w14:paraId="75B85D53">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仿宋" w:hAnsi="仿宋" w:eastAsia="仿宋" w:cs="仿宋"/>
          <w:b/>
          <w:bCs/>
          <w:color w:val="000000"/>
          <w:sz w:val="36"/>
          <w:szCs w:val="36"/>
          <w:highlight w:val="none"/>
          <w:lang w:eastAsia="zh-CN"/>
        </w:rPr>
      </w:pPr>
    </w:p>
    <w:p w14:paraId="576ED2A8">
      <w:pPr>
        <w:keepNext w:val="0"/>
        <w:keepLines w:val="0"/>
        <w:pageBreakBefore w:val="0"/>
        <w:widowControl w:val="0"/>
        <w:kinsoku/>
        <w:wordWrap/>
        <w:overflowPunct/>
        <w:topLinePunct w:val="0"/>
        <w:autoSpaceDE/>
        <w:autoSpaceDN/>
        <w:bidi w:val="0"/>
        <w:adjustRightInd/>
        <w:snapToGrid/>
        <w:spacing w:line="480" w:lineRule="exact"/>
        <w:ind w:right="0" w:rightChars="0"/>
        <w:jc w:val="center"/>
        <w:textAlignment w:val="auto"/>
        <w:outlineLvl w:val="9"/>
        <w:rPr>
          <w:rFonts w:hint="eastAsia" w:ascii="仿宋" w:hAnsi="仿宋" w:eastAsia="仿宋" w:cs="仿宋"/>
          <w:b/>
          <w:bCs/>
          <w:color w:val="000000"/>
          <w:sz w:val="36"/>
          <w:szCs w:val="36"/>
          <w:highlight w:val="none"/>
        </w:rPr>
      </w:pPr>
      <w:r>
        <w:rPr>
          <w:rFonts w:hint="eastAsia" w:ascii="仿宋" w:hAnsi="仿宋" w:eastAsia="仿宋" w:cs="仿宋"/>
          <w:b/>
          <w:bCs/>
          <w:color w:val="000000"/>
          <w:sz w:val="36"/>
          <w:szCs w:val="36"/>
          <w:highlight w:val="none"/>
          <w:lang w:eastAsia="zh-CN"/>
        </w:rPr>
        <w:t>合阳县政府投资项目2026年度咨询服务</w:t>
      </w: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7BDD7F8F">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14:paraId="5724A9C1">
      <w:pPr>
        <w:jc w:val="center"/>
        <w:rPr>
          <w:b/>
          <w:color w:val="000000"/>
          <w:sz w:val="72"/>
          <w:szCs w:val="72"/>
          <w:lang w:eastAsia="zh-CN"/>
        </w:rPr>
      </w:pPr>
      <w:r>
        <w:rPr>
          <w:rFonts w:hint="eastAsia"/>
          <w:b/>
          <w:color w:val="000000"/>
          <w:sz w:val="24"/>
          <w:szCs w:val="24"/>
          <w:lang w:eastAsia="zh-CN"/>
        </w:rPr>
        <w:t>采购人可根据项目的实际情况增减条款和内容）</w:t>
      </w:r>
    </w:p>
    <w:p w14:paraId="68BFE210">
      <w:pPr>
        <w:jc w:val="center"/>
        <w:rPr>
          <w:b/>
          <w:color w:val="000000"/>
          <w:sz w:val="52"/>
          <w:szCs w:val="52"/>
          <w:lang w:eastAsia="zh-CN"/>
        </w:rPr>
      </w:pP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0033E8CC">
      <w:pPr>
        <w:rPr>
          <w:rFonts w:hint="eastAsia"/>
          <w:color w:val="000000"/>
          <w:sz w:val="32"/>
          <w:szCs w:val="32"/>
          <w:lang w:eastAsia="zh-CN"/>
        </w:rPr>
      </w:pPr>
      <w:r>
        <w:rPr>
          <w:rFonts w:hint="eastAsia"/>
          <w:color w:val="000000"/>
          <w:sz w:val="32"/>
          <w:szCs w:val="32"/>
          <w:lang w:eastAsia="zh-CN"/>
        </w:rPr>
        <w:br w:type="page"/>
      </w:r>
    </w:p>
    <w:p w14:paraId="7AA693B4">
      <w:pPr>
        <w:adjustRightInd w:val="0"/>
        <w:snapToGrid w:val="0"/>
        <w:spacing w:line="348" w:lineRule="auto"/>
        <w:rPr>
          <w:color w:val="000000"/>
          <w:sz w:val="24"/>
          <w:szCs w:val="24"/>
          <w:lang w:eastAsia="zh-CN"/>
        </w:rPr>
      </w:pPr>
      <w:bookmarkStart w:id="0" w:name="_GoBack"/>
      <w:bookmarkEnd w:id="0"/>
      <w:r>
        <w:rPr>
          <w:rFonts w:hint="eastAsia"/>
          <w:color w:val="000000"/>
          <w:sz w:val="24"/>
          <w:szCs w:val="24"/>
          <w:lang w:eastAsia="zh-CN"/>
        </w:rPr>
        <w:t>甲方：（前款所称采购人）</w:t>
      </w:r>
    </w:p>
    <w:p w14:paraId="637D5B45">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p>
    <w:p w14:paraId="56466819">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olor w:val="000000"/>
          <w:sz w:val="24"/>
          <w:szCs w:val="24"/>
          <w:u w:val="single"/>
          <w:lang w:eastAsia="zh-CN"/>
        </w:rPr>
        <w:t>合阳县政府投资项目2026年度咨询服务</w:t>
      </w:r>
      <w:r>
        <w:rPr>
          <w:rFonts w:hint="eastAsia"/>
          <w:color w:val="000000"/>
          <w:sz w:val="24"/>
          <w:szCs w:val="24"/>
          <w:lang w:eastAsia="zh-CN"/>
        </w:rPr>
        <w:t>采购事宜达成如下协议，共同遵照执行。</w:t>
      </w:r>
    </w:p>
    <w:p w14:paraId="77763DF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spacing w:line="360" w:lineRule="auto"/>
        <w:ind w:left="482"/>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olor w:val="000000"/>
          <w:sz w:val="24"/>
          <w:szCs w:val="24"/>
          <w:u w:val="single"/>
          <w:lang w:eastAsia="zh-CN"/>
        </w:rPr>
        <w:t>合阳县政府投资项目2026年度咨询服务</w:t>
      </w:r>
      <w:r>
        <w:rPr>
          <w:rFonts w:hint="eastAsia"/>
          <w:color w:val="000000"/>
          <w:sz w:val="24"/>
          <w:szCs w:val="24"/>
          <w:lang w:eastAsia="zh-CN"/>
        </w:rPr>
        <w:t>。</w:t>
      </w:r>
      <w:r>
        <w:rPr>
          <w:rFonts w:hint="eastAsia"/>
          <w:color w:val="000000"/>
          <w:lang w:eastAsia="zh-CN"/>
        </w:rPr>
        <w:t xml:space="preserve"> </w:t>
      </w:r>
    </w:p>
    <w:p w14:paraId="25D772AB">
      <w:pPr>
        <w:tabs>
          <w:tab w:val="left" w:pos="720"/>
          <w:tab w:val="left" w:pos="3780"/>
          <w:tab w:val="left" w:pos="6480"/>
        </w:tabs>
        <w:adjustRightInd w:val="0"/>
        <w:snapToGrid w:val="0"/>
        <w:spacing w:line="348" w:lineRule="auto"/>
        <w:ind w:firstLine="482" w:firstLineChars="200"/>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tabs>
          <w:tab w:val="left" w:pos="720"/>
          <w:tab w:val="left" w:pos="3780"/>
          <w:tab w:val="left" w:pos="6480"/>
        </w:tabs>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cs="仿宋_GB2312"/>
          <w:bCs/>
          <w:sz w:val="24"/>
          <w:szCs w:val="24"/>
          <w:lang w:eastAsia="zh-CN"/>
        </w:rPr>
        <w:t>甲方指定地点。</w:t>
      </w:r>
    </w:p>
    <w:p w14:paraId="3AC850F4">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四、合同价款：</w:t>
      </w:r>
    </w:p>
    <w:p w14:paraId="31D67E3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0CB54BE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5D2241F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3、</w:t>
      </w:r>
      <w:r>
        <w:rPr>
          <w:rFonts w:hint="eastAsia" w:cs="仿宋_GB2312"/>
          <w:bCs/>
          <w:sz w:val="24"/>
          <w:szCs w:val="24"/>
          <w:lang w:eastAsia="zh-CN"/>
        </w:rPr>
        <w:t>合同总价一次性包死，不受市场价格变化因素的影响。</w:t>
      </w:r>
    </w:p>
    <w:p w14:paraId="7BFFDA90">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五、付款方式：</w:t>
      </w:r>
    </w:p>
    <w:p w14:paraId="25C3EAEB">
      <w:pPr>
        <w:adjustRightInd w:val="0"/>
        <w:snapToGrid w:val="0"/>
        <w:spacing w:line="360" w:lineRule="auto"/>
        <w:ind w:firstLine="480" w:firstLineChars="200"/>
        <w:rPr>
          <w:rFonts w:hint="eastAsia" w:cs="仿宋_GB2312"/>
          <w:bCs/>
          <w:sz w:val="24"/>
          <w:szCs w:val="24"/>
          <w:lang w:val="en-US" w:eastAsia="zh-CN"/>
        </w:rPr>
      </w:pPr>
      <w:r>
        <w:rPr>
          <w:rFonts w:hint="eastAsia" w:cs="仿宋_GB2312"/>
          <w:bCs/>
          <w:sz w:val="24"/>
          <w:szCs w:val="24"/>
          <w:lang w:eastAsia="zh-CN"/>
        </w:rPr>
        <w:t>1、合同款的支付：合同签订后，支付合同价款的40%；项目中期，支付合同价款的30%；项目完成后，支付合同价款的30%。</w:t>
      </w:r>
      <w:r>
        <w:rPr>
          <w:rFonts w:hint="eastAsia" w:cs="仿宋_GB2312"/>
          <w:bCs/>
          <w:sz w:val="24"/>
          <w:szCs w:val="24"/>
          <w:lang w:val="en-US" w:eastAsia="zh-CN"/>
        </w:rPr>
        <w:t xml:space="preserve"> </w:t>
      </w:r>
    </w:p>
    <w:p w14:paraId="4B75564A">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2、支付方式：银行转账。</w:t>
      </w:r>
    </w:p>
    <w:p w14:paraId="7A72A1A1">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14:paraId="792D75D1">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乙方账户信息：</w:t>
      </w:r>
    </w:p>
    <w:p w14:paraId="600DDA3F">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账户： </w:t>
      </w:r>
    </w:p>
    <w:p w14:paraId="0E7A7E87">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账号：</w:t>
      </w:r>
    </w:p>
    <w:p w14:paraId="0C54BA24">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开户行： </w:t>
      </w:r>
    </w:p>
    <w:p w14:paraId="2975BA4A">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双方以人民币结算一切开支。</w:t>
      </w:r>
    </w:p>
    <w:p w14:paraId="0A77E01F">
      <w:pPr>
        <w:adjustRightInd w:val="0"/>
        <w:snapToGrid w:val="0"/>
        <w:spacing w:line="360" w:lineRule="auto"/>
        <w:ind w:firstLine="482" w:firstLineChars="200"/>
        <w:rPr>
          <w:rFonts w:cs="仿宋_GB2312"/>
          <w:bCs/>
          <w:sz w:val="24"/>
          <w:szCs w:val="24"/>
          <w:lang w:eastAsia="zh-CN"/>
        </w:rPr>
      </w:pPr>
      <w:r>
        <w:rPr>
          <w:rFonts w:hint="eastAsia" w:cs="仿宋_GB2312"/>
          <w:b/>
          <w:bCs/>
          <w:sz w:val="24"/>
          <w:szCs w:val="24"/>
          <w:lang w:eastAsia="zh-CN"/>
        </w:rPr>
        <w:t>六、责任与义务</w:t>
      </w:r>
    </w:p>
    <w:p w14:paraId="33DDAC4D">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、磋商报价应是乙方正确、全面完成</w:t>
      </w:r>
      <w:r>
        <w:rPr>
          <w:rFonts w:hint="eastAsia" w:cs="仿宋_GB2312"/>
          <w:bCs/>
          <w:sz w:val="24"/>
          <w:szCs w:val="24"/>
          <w:lang w:val="en-US" w:eastAsia="zh-CN"/>
        </w:rPr>
        <w:t>竞争性磋商</w:t>
      </w:r>
      <w:r>
        <w:rPr>
          <w:rFonts w:hint="eastAsia" w:cs="仿宋_GB2312"/>
          <w:bCs/>
          <w:sz w:val="24"/>
          <w:szCs w:val="24"/>
          <w:lang w:eastAsia="zh-CN"/>
        </w:rPr>
        <w:t>文件所述全部工作内容的全部报酬，不受市场价格变化等因素的影响，乙方不得以任何理由变更磋商报价。所有根据合同或其它原因由乙方支付的税金和其它应缴纳的费用，以及利润等都应包括在乙方提交的磋商报价中，乙方不得要求甲方在报价之外支付其它任何费用。由于报价填报不完整、不清楚或存在其它任何失误，所导致的任何不利后果均应当由乙方自行承担。</w:t>
      </w:r>
    </w:p>
    <w:p w14:paraId="3A815A69">
      <w:pPr>
        <w:adjustRightInd w:val="0"/>
        <w:snapToGrid w:val="0"/>
        <w:spacing w:line="348" w:lineRule="auto"/>
        <w:ind w:firstLine="480" w:firstLineChars="200"/>
        <w:rPr>
          <w:rFonts w:cs="仿宋_GB2312"/>
          <w:bCs/>
          <w:sz w:val="24"/>
          <w:szCs w:val="24"/>
          <w:lang w:eastAsia="zh-CN"/>
        </w:rPr>
      </w:pPr>
      <w:r>
        <w:rPr>
          <w:rFonts w:hint="eastAsia" w:cs="仿宋_GB2312"/>
          <w:bCs/>
          <w:sz w:val="24"/>
          <w:szCs w:val="24"/>
          <w:lang w:eastAsia="zh-CN"/>
        </w:rPr>
        <w:t>3、合同有效期内，磋商报价不因市场因素、政府政策调整、费率调整和税收变化等而作任何调整，乙方应在投标时充分考虑到各种风险因素。</w:t>
      </w:r>
    </w:p>
    <w:p w14:paraId="6AEA026E">
      <w:pPr>
        <w:adjustRightInd w:val="0"/>
        <w:snapToGrid w:val="0"/>
        <w:spacing w:line="348" w:lineRule="auto"/>
        <w:ind w:firstLine="482" w:firstLineChars="200"/>
        <w:rPr>
          <w:rFonts w:hint="eastAsia"/>
          <w:b/>
          <w:color w:val="000000"/>
          <w:sz w:val="24"/>
          <w:szCs w:val="24"/>
          <w:lang w:eastAsia="zh-CN"/>
        </w:rPr>
      </w:pPr>
      <w:r>
        <w:rPr>
          <w:rFonts w:hint="eastAsia"/>
          <w:b/>
          <w:color w:val="000000"/>
          <w:sz w:val="24"/>
          <w:szCs w:val="24"/>
          <w:lang w:eastAsia="zh-CN"/>
        </w:rPr>
        <w:t>七、技术服务：</w:t>
      </w:r>
    </w:p>
    <w:p w14:paraId="6CCCBBEB">
      <w:pPr>
        <w:adjustRightInd w:val="0"/>
        <w:snapToGrid w:val="0"/>
        <w:spacing w:line="360" w:lineRule="auto"/>
        <w:ind w:firstLine="480" w:firstLineChars="200"/>
        <w:rPr>
          <w:rFonts w:hint="eastAsia" w:ascii="Times New Roman" w:hAnsi="Times New Roman" w:cs="仿宋_GB2312"/>
          <w:bCs/>
          <w:sz w:val="24"/>
          <w:szCs w:val="24"/>
          <w:lang w:eastAsia="zh-CN"/>
        </w:rPr>
      </w:pPr>
      <w:r>
        <w:rPr>
          <w:rFonts w:hint="eastAsia" w:ascii="Times New Roman" w:hAnsi="Times New Roman" w:cs="仿宋_GB2312"/>
          <w:bCs/>
          <w:sz w:val="24"/>
          <w:szCs w:val="24"/>
          <w:lang w:val="en-US" w:eastAsia="zh-CN"/>
        </w:rPr>
        <w:t>1、重点围绕项目申报政策精准指导、重大项目清单建设、重大项目提质增效、重点项目申报预评估、</w:t>
      </w:r>
      <w:r>
        <w:rPr>
          <w:rFonts w:hint="default" w:ascii="Times New Roman" w:hAnsi="Times New Roman" w:cs="仿宋_GB2312"/>
          <w:bCs/>
          <w:sz w:val="24"/>
          <w:szCs w:val="24"/>
          <w:lang w:val="en-US" w:eastAsia="zh-CN"/>
        </w:rPr>
        <w:t>重大</w:t>
      </w:r>
      <w:r>
        <w:rPr>
          <w:rFonts w:hint="eastAsia" w:ascii="Times New Roman" w:hAnsi="Times New Roman" w:cs="仿宋_GB2312"/>
          <w:bCs/>
          <w:sz w:val="24"/>
          <w:szCs w:val="24"/>
          <w:lang w:val="en-US" w:eastAsia="zh-CN"/>
        </w:rPr>
        <w:t>项目谋划等领域开展咨询服务。根据咨询行业相关规范，结合团队丰富经验，对政策性资金项目清单、“十五五 ”专项规划项目清单、重点产业链项目清单进行梳理。</w:t>
      </w:r>
    </w:p>
    <w:p w14:paraId="68565C87">
      <w:pPr>
        <w:adjustRightInd w:val="0"/>
        <w:snapToGrid w:val="0"/>
        <w:spacing w:line="360" w:lineRule="auto"/>
        <w:ind w:firstLine="480" w:firstLineChars="200"/>
        <w:rPr>
          <w:rFonts w:hint="eastAsia" w:ascii="Times New Roman" w:hAnsi="Times New Roman" w:cs="仿宋_GB2312"/>
          <w:bCs/>
          <w:sz w:val="24"/>
          <w:szCs w:val="24"/>
          <w:lang w:eastAsia="zh-CN"/>
        </w:rPr>
      </w:pPr>
      <w:r>
        <w:rPr>
          <w:rFonts w:hint="eastAsia" w:ascii="Times New Roman" w:hAnsi="Times New Roman" w:cs="仿宋_GB2312"/>
          <w:bCs/>
          <w:sz w:val="24"/>
          <w:szCs w:val="24"/>
          <w:lang w:val="en-US" w:eastAsia="zh-CN"/>
        </w:rPr>
        <w:t xml:space="preserve">2、 </w:t>
      </w:r>
      <w:r>
        <w:rPr>
          <w:rFonts w:hint="eastAsia" w:ascii="Times New Roman" w:hAnsi="Times New Roman" w:cs="仿宋_GB2312"/>
          <w:bCs/>
          <w:sz w:val="24"/>
          <w:szCs w:val="24"/>
          <w:lang w:eastAsia="zh-CN"/>
        </w:rPr>
        <w:t>编制完成《2026年</w:t>
      </w:r>
      <w:r>
        <w:rPr>
          <w:rFonts w:hint="eastAsia" w:ascii="Times New Roman" w:hAnsi="Times New Roman" w:cs="仿宋_GB2312"/>
          <w:bCs/>
          <w:sz w:val="24"/>
          <w:szCs w:val="24"/>
          <w:lang w:val="en-US" w:eastAsia="zh-CN"/>
        </w:rPr>
        <w:t>合阳</w:t>
      </w:r>
      <w:r>
        <w:rPr>
          <w:rFonts w:hint="eastAsia" w:ascii="Times New Roman" w:hAnsi="Times New Roman" w:cs="仿宋_GB2312"/>
          <w:bCs/>
          <w:sz w:val="24"/>
          <w:szCs w:val="24"/>
          <w:lang w:eastAsia="zh-CN"/>
        </w:rPr>
        <w:t>县项目申报政策精准指导工作报告》《2026年</w:t>
      </w:r>
      <w:r>
        <w:rPr>
          <w:rFonts w:hint="eastAsia" w:ascii="Times New Roman" w:hAnsi="Times New Roman" w:cs="仿宋_GB2312"/>
          <w:bCs/>
          <w:sz w:val="24"/>
          <w:szCs w:val="24"/>
          <w:lang w:val="en-US" w:eastAsia="zh-CN"/>
        </w:rPr>
        <w:t>合阳</w:t>
      </w:r>
      <w:r>
        <w:rPr>
          <w:rFonts w:hint="eastAsia" w:ascii="Times New Roman" w:hAnsi="Times New Roman" w:cs="仿宋_GB2312"/>
          <w:bCs/>
          <w:sz w:val="24"/>
          <w:szCs w:val="24"/>
          <w:lang w:eastAsia="zh-CN"/>
        </w:rPr>
        <w:t>县重大项目滚动储备清单》，包含《中长期项目清单》、《重大项目清单》，《2026年</w:t>
      </w:r>
      <w:r>
        <w:rPr>
          <w:rFonts w:hint="eastAsia" w:ascii="Times New Roman" w:hAnsi="Times New Roman" w:cs="仿宋_GB2312"/>
          <w:bCs/>
          <w:sz w:val="24"/>
          <w:szCs w:val="24"/>
          <w:lang w:val="en-US" w:eastAsia="zh-CN"/>
        </w:rPr>
        <w:t>合阳</w:t>
      </w:r>
      <w:r>
        <w:rPr>
          <w:rFonts w:hint="eastAsia" w:ascii="Times New Roman" w:hAnsi="Times New Roman" w:cs="仿宋_GB2312"/>
          <w:bCs/>
          <w:sz w:val="24"/>
          <w:szCs w:val="24"/>
          <w:lang w:eastAsia="zh-CN"/>
        </w:rPr>
        <w:t>县重点项目研判分析工作报告》《2026年</w:t>
      </w:r>
      <w:r>
        <w:rPr>
          <w:rFonts w:hint="eastAsia" w:ascii="Times New Roman" w:hAnsi="Times New Roman" w:cs="仿宋_GB2312"/>
          <w:bCs/>
          <w:sz w:val="24"/>
          <w:szCs w:val="24"/>
          <w:lang w:val="en-US" w:eastAsia="zh-CN"/>
        </w:rPr>
        <w:t>合阳</w:t>
      </w:r>
      <w:r>
        <w:rPr>
          <w:rFonts w:hint="eastAsia" w:ascii="Times New Roman" w:hAnsi="Times New Roman" w:cs="仿宋_GB2312"/>
          <w:bCs/>
          <w:sz w:val="24"/>
          <w:szCs w:val="24"/>
          <w:lang w:eastAsia="zh-CN"/>
        </w:rPr>
        <w:t>县重点项目申报预评估工作报告》《2026年</w:t>
      </w:r>
      <w:r>
        <w:rPr>
          <w:rFonts w:hint="eastAsia" w:ascii="Times New Roman" w:hAnsi="Times New Roman" w:cs="仿宋_GB2312"/>
          <w:bCs/>
          <w:sz w:val="24"/>
          <w:szCs w:val="24"/>
          <w:lang w:val="en-US" w:eastAsia="zh-CN"/>
        </w:rPr>
        <w:t>合阳</w:t>
      </w:r>
      <w:r>
        <w:rPr>
          <w:rFonts w:hint="eastAsia" w:ascii="Times New Roman" w:hAnsi="Times New Roman" w:cs="仿宋_GB2312"/>
          <w:bCs/>
          <w:sz w:val="24"/>
          <w:szCs w:val="24"/>
          <w:lang w:eastAsia="zh-CN"/>
        </w:rPr>
        <w:t>县项目谋划工作报告》等文件，包含全年开展</w:t>
      </w:r>
      <w:r>
        <w:rPr>
          <w:rFonts w:hint="eastAsia" w:ascii="Times New Roman" w:hAnsi="Times New Roman" w:cs="仿宋_GB2312"/>
          <w:bCs/>
          <w:sz w:val="24"/>
          <w:szCs w:val="24"/>
          <w:lang w:val="en-US" w:eastAsia="zh-CN"/>
        </w:rPr>
        <w:t>2</w:t>
      </w:r>
      <w:r>
        <w:rPr>
          <w:rFonts w:hint="eastAsia" w:ascii="Times New Roman" w:hAnsi="Times New Roman" w:cs="仿宋_GB2312"/>
          <w:bCs/>
          <w:sz w:val="24"/>
          <w:szCs w:val="24"/>
          <w:lang w:eastAsia="zh-CN"/>
        </w:rPr>
        <w:t>次专题调研、培训、讲座，及时开展申报政策咨询、修改建议、核报预审等服务，对谋划的重大项目提出符合政策方向、政策要求的修改建议，以高质量的项目储备提升申报成功率。</w:t>
      </w:r>
    </w:p>
    <w:p w14:paraId="044715D1">
      <w:pPr>
        <w:tabs>
          <w:tab w:val="left" w:pos="720"/>
          <w:tab w:val="left" w:pos="3780"/>
          <w:tab w:val="left" w:pos="6480"/>
        </w:tabs>
        <w:adjustRightInd w:val="0"/>
        <w:snapToGrid w:val="0"/>
        <w:spacing w:line="348"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48"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双方本着友好合作的态度</w:t>
      </w:r>
      <w:r>
        <w:rPr>
          <w:rFonts w:hint="eastAsia" w:cs="仿宋_GB2312"/>
          <w:bCs/>
          <w:color w:val="000000"/>
          <w:sz w:val="24"/>
          <w:szCs w:val="24"/>
          <w:lang w:val="en-US" w:eastAsia="zh-CN"/>
        </w:rPr>
        <w:t>，</w:t>
      </w:r>
      <w:r>
        <w:rPr>
          <w:rFonts w:hint="eastAsia" w:cs="仿宋_GB2312"/>
          <w:bCs/>
          <w:color w:val="000000"/>
          <w:sz w:val="24"/>
          <w:szCs w:val="24"/>
          <w:lang w:eastAsia="zh-CN"/>
        </w:rPr>
        <w:t>对合同履行过程中发生的纠纷应及时协商解决，协商不成，向甲方所在地人民法院诉讼解决。</w:t>
      </w:r>
    </w:p>
    <w:p w14:paraId="3AC11CEE">
      <w:pPr>
        <w:adjustRightInd w:val="0"/>
        <w:snapToGrid w:val="0"/>
        <w:spacing w:line="348"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494647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7A"/>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F1CD1"/>
    <w:rsid w:val="1B145831"/>
    <w:rsid w:val="253B28B5"/>
    <w:rsid w:val="31FD0E67"/>
    <w:rsid w:val="37FD2508"/>
    <w:rsid w:val="4A9D2073"/>
    <w:rsid w:val="6F2D4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spacing w:after="120" w:afterLines="0"/>
    </w:pPr>
  </w:style>
  <w:style w:type="paragraph" w:styleId="4">
    <w:name w:val="Body Text 2"/>
    <w:basedOn w:val="1"/>
    <w:qFormat/>
    <w:uiPriority w:val="0"/>
    <w:pPr>
      <w:tabs>
        <w:tab w:val="left" w:pos="1134"/>
      </w:tabs>
      <w:spacing w:after="120" w:afterLines="0" w:afterAutospacing="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2026-05-12T07:07:48Z</dcterms:created>
  <dc:creator>招投标-蒋娜娜</dc:creator>
  <cp:lastModifiedBy>hanjiangchanxue@163.com</cp:lastModifiedBy>
  <dcterms:modified xsi:type="dcterms:W3CDTF">2026-05-12T07:12:18Z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eyJoZGlkIjoiMjMyYmEyYWU1OTY5MWI1MjIzMzI4MWI4Mjk0ZDdlNWQiLCJ1c2VySWQiOiIxNDg1NTE2NzcifQ==</vt:lpwstr>
  </property>
  <property fmtid="{D5CDD505-2E9C-101B-9397-08002B2CF9AE}" pid="4" name="ICV">
    <vt:lpwstr>B341A001A9FE4743968F8197FD7569E8_12</vt:lpwstr>
  </property>
</Properties>
</file>